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35" w:rsidRDefault="00A16735" w:rsidP="00A16735">
      <w:pPr>
        <w:spacing w:line="360" w:lineRule="auto"/>
        <w:jc w:val="center"/>
        <w:rPr>
          <w:b/>
          <w:sz w:val="36"/>
          <w:szCs w:val="36"/>
        </w:rPr>
      </w:pPr>
    </w:p>
    <w:p w:rsidR="00A70D98" w:rsidRDefault="00A70D98" w:rsidP="00A16735">
      <w:pPr>
        <w:spacing w:line="360" w:lineRule="auto"/>
        <w:jc w:val="center"/>
        <w:rPr>
          <w:b/>
          <w:sz w:val="36"/>
          <w:szCs w:val="36"/>
        </w:rPr>
      </w:pPr>
    </w:p>
    <w:p w:rsidR="00A32EA4" w:rsidRDefault="007A12F0" w:rsidP="00A16735">
      <w:pPr>
        <w:spacing w:line="360" w:lineRule="auto"/>
        <w:jc w:val="center"/>
        <w:rPr>
          <w:b/>
          <w:sz w:val="36"/>
          <w:szCs w:val="36"/>
        </w:rPr>
      </w:pPr>
      <w:r>
        <w:rPr>
          <w:b/>
          <w:sz w:val="36"/>
          <w:szCs w:val="36"/>
        </w:rPr>
        <w:t>The case for p</w:t>
      </w:r>
      <w:r w:rsidR="002C2EBF">
        <w:rPr>
          <w:b/>
          <w:sz w:val="36"/>
          <w:szCs w:val="36"/>
        </w:rPr>
        <w:t>rudent financial liberalisation and its</w:t>
      </w:r>
      <w:r>
        <w:rPr>
          <w:b/>
          <w:sz w:val="36"/>
          <w:szCs w:val="36"/>
        </w:rPr>
        <w:t xml:space="preserve"> policy implications</w:t>
      </w:r>
    </w:p>
    <w:p w:rsidR="001867E3" w:rsidRDefault="001867E3" w:rsidP="00A16735">
      <w:pPr>
        <w:spacing w:line="360" w:lineRule="auto"/>
        <w:jc w:val="center"/>
        <w:rPr>
          <w:b/>
          <w:sz w:val="36"/>
          <w:szCs w:val="36"/>
        </w:rPr>
      </w:pPr>
    </w:p>
    <w:p w:rsidR="00DA63A6" w:rsidRDefault="00DA63A6" w:rsidP="00A16735">
      <w:pPr>
        <w:spacing w:line="360" w:lineRule="auto"/>
        <w:jc w:val="center"/>
        <w:rPr>
          <w:b/>
          <w:sz w:val="36"/>
          <w:szCs w:val="36"/>
        </w:rPr>
      </w:pPr>
    </w:p>
    <w:p w:rsidR="00FF35E9" w:rsidRPr="00FF35E9" w:rsidRDefault="00DA63A6" w:rsidP="00FF35E9">
      <w:pPr>
        <w:autoSpaceDE w:val="0"/>
        <w:autoSpaceDN w:val="0"/>
        <w:adjustRightInd w:val="0"/>
        <w:spacing w:after="0" w:line="240" w:lineRule="auto"/>
        <w:jc w:val="center"/>
        <w:rPr>
          <w:rFonts w:cs="Times New Roman"/>
          <w:b/>
          <w:sz w:val="26"/>
          <w:szCs w:val="26"/>
        </w:rPr>
      </w:pPr>
      <w:r w:rsidRPr="00FF35E9">
        <w:rPr>
          <w:b/>
          <w:sz w:val="26"/>
          <w:szCs w:val="26"/>
        </w:rPr>
        <w:t xml:space="preserve">Paper prepared for </w:t>
      </w:r>
      <w:r w:rsidR="00FF35E9" w:rsidRPr="00FF35E9">
        <w:rPr>
          <w:b/>
          <w:sz w:val="26"/>
          <w:szCs w:val="26"/>
        </w:rPr>
        <w:t xml:space="preserve">Berlin </w:t>
      </w:r>
      <w:r w:rsidR="00FF35E9" w:rsidRPr="00FF35E9">
        <w:rPr>
          <w:rFonts w:cs="Times New Roman"/>
          <w:b/>
          <w:sz w:val="26"/>
          <w:szCs w:val="26"/>
        </w:rPr>
        <w:t>'Finance and Development’ Conference, Dec 11, 2013</w:t>
      </w:r>
      <w:r w:rsidR="00FF35E9">
        <w:rPr>
          <w:rFonts w:cs="Times New Roman"/>
          <w:b/>
          <w:sz w:val="26"/>
          <w:szCs w:val="26"/>
        </w:rPr>
        <w:t>.</w:t>
      </w:r>
    </w:p>
    <w:p w:rsidR="00DA63A6" w:rsidRPr="00FF35E9" w:rsidRDefault="00FF35E9" w:rsidP="00FF35E9">
      <w:pPr>
        <w:autoSpaceDE w:val="0"/>
        <w:autoSpaceDN w:val="0"/>
        <w:adjustRightInd w:val="0"/>
        <w:spacing w:after="0" w:line="240" w:lineRule="auto"/>
        <w:jc w:val="center"/>
        <w:rPr>
          <w:rFonts w:cs="Times New Roman"/>
          <w:b/>
          <w:sz w:val="26"/>
          <w:szCs w:val="26"/>
        </w:rPr>
      </w:pPr>
      <w:proofErr w:type="gramStart"/>
      <w:r>
        <w:rPr>
          <w:rFonts w:cs="Times New Roman"/>
          <w:b/>
          <w:sz w:val="26"/>
          <w:szCs w:val="26"/>
        </w:rPr>
        <w:t>O</w:t>
      </w:r>
      <w:r w:rsidRPr="00FF35E9">
        <w:rPr>
          <w:rFonts w:cs="Times New Roman"/>
          <w:b/>
          <w:sz w:val="26"/>
          <w:szCs w:val="26"/>
        </w:rPr>
        <w:t>rganised by AFD-BMZ-EUDN.</w:t>
      </w:r>
      <w:proofErr w:type="gramEnd"/>
    </w:p>
    <w:p w:rsidR="00DA63A6" w:rsidRDefault="00DA63A6" w:rsidP="00A16735">
      <w:pPr>
        <w:spacing w:line="360" w:lineRule="auto"/>
        <w:jc w:val="center"/>
        <w:rPr>
          <w:b/>
          <w:sz w:val="28"/>
          <w:szCs w:val="28"/>
        </w:rPr>
      </w:pPr>
    </w:p>
    <w:p w:rsidR="00DA63A6" w:rsidRPr="00DA63A6" w:rsidRDefault="00DA63A6" w:rsidP="00A16735">
      <w:pPr>
        <w:spacing w:line="360" w:lineRule="auto"/>
        <w:jc w:val="center"/>
        <w:rPr>
          <w:b/>
          <w:sz w:val="28"/>
          <w:szCs w:val="28"/>
        </w:rPr>
      </w:pPr>
    </w:p>
    <w:p w:rsidR="002C33E4" w:rsidRDefault="002C33E4" w:rsidP="00A16735">
      <w:pPr>
        <w:spacing w:line="360" w:lineRule="auto"/>
        <w:jc w:val="center"/>
        <w:rPr>
          <w:b/>
          <w:sz w:val="28"/>
          <w:szCs w:val="28"/>
        </w:rPr>
      </w:pPr>
      <w:r w:rsidRPr="00A16735">
        <w:rPr>
          <w:b/>
          <w:sz w:val="28"/>
          <w:szCs w:val="28"/>
        </w:rPr>
        <w:t>Prof</w:t>
      </w:r>
      <w:r w:rsidR="006E0CA5" w:rsidRPr="00A16735">
        <w:rPr>
          <w:b/>
          <w:sz w:val="28"/>
          <w:szCs w:val="28"/>
        </w:rPr>
        <w:t>essor S</w:t>
      </w:r>
      <w:r w:rsidRPr="00A16735">
        <w:rPr>
          <w:b/>
          <w:sz w:val="28"/>
          <w:szCs w:val="28"/>
        </w:rPr>
        <w:t>tephany Griffith-Jones</w:t>
      </w:r>
      <w:r w:rsidR="00CB4E58">
        <w:rPr>
          <w:rStyle w:val="FootnoteReference"/>
          <w:b/>
          <w:sz w:val="28"/>
          <w:szCs w:val="28"/>
        </w:rPr>
        <w:footnoteReference w:id="1"/>
      </w:r>
    </w:p>
    <w:p w:rsidR="00A14F08" w:rsidRDefault="00A14F08" w:rsidP="00A16735">
      <w:pPr>
        <w:spacing w:line="360" w:lineRule="auto"/>
        <w:jc w:val="center"/>
        <w:rPr>
          <w:b/>
          <w:sz w:val="28"/>
          <w:szCs w:val="28"/>
        </w:rPr>
      </w:pPr>
      <w:r>
        <w:rPr>
          <w:b/>
          <w:sz w:val="28"/>
          <w:szCs w:val="28"/>
        </w:rPr>
        <w:t>Financial Markets Director, Initiative for Policy Dialogue, Columbia University</w:t>
      </w:r>
    </w:p>
    <w:p w:rsidR="003265B9" w:rsidRDefault="004937FE" w:rsidP="00A16735">
      <w:pPr>
        <w:spacing w:line="360" w:lineRule="auto"/>
        <w:jc w:val="center"/>
        <w:rPr>
          <w:b/>
          <w:sz w:val="28"/>
          <w:szCs w:val="28"/>
        </w:rPr>
      </w:pPr>
      <w:r>
        <w:rPr>
          <w:b/>
          <w:sz w:val="28"/>
          <w:szCs w:val="28"/>
        </w:rPr>
        <w:t>s</w:t>
      </w:r>
      <w:r w:rsidR="003265B9">
        <w:rPr>
          <w:b/>
          <w:sz w:val="28"/>
          <w:szCs w:val="28"/>
        </w:rPr>
        <w:t>gj2108@columbia.edu</w:t>
      </w:r>
    </w:p>
    <w:p w:rsidR="001867E3" w:rsidRDefault="00FA1212" w:rsidP="00A16735">
      <w:pPr>
        <w:spacing w:line="360" w:lineRule="auto"/>
        <w:jc w:val="center"/>
        <w:rPr>
          <w:rStyle w:val="Hyperlink"/>
          <w:b/>
          <w:sz w:val="28"/>
          <w:szCs w:val="28"/>
        </w:rPr>
      </w:pPr>
      <w:hyperlink r:id="rId9" w:history="1">
        <w:r w:rsidR="00A70D98" w:rsidRPr="0074503F">
          <w:rPr>
            <w:rStyle w:val="Hyperlink"/>
            <w:b/>
            <w:sz w:val="28"/>
            <w:szCs w:val="28"/>
          </w:rPr>
          <w:t>www.stephanygj.net</w:t>
        </w:r>
      </w:hyperlink>
    </w:p>
    <w:p w:rsidR="009F2944" w:rsidRDefault="009F2944" w:rsidP="00A16735">
      <w:pPr>
        <w:spacing w:line="360" w:lineRule="auto"/>
        <w:jc w:val="center"/>
        <w:rPr>
          <w:b/>
          <w:sz w:val="28"/>
          <w:szCs w:val="28"/>
        </w:rPr>
      </w:pPr>
      <w:r w:rsidRPr="009F2944">
        <w:rPr>
          <w:rStyle w:val="Hyperlink"/>
          <w:b/>
          <w:sz w:val="28"/>
          <w:szCs w:val="28"/>
          <w:u w:val="none"/>
        </w:rPr>
        <w:t xml:space="preserve">Twitter: </w:t>
      </w:r>
      <w:r>
        <w:rPr>
          <w:rStyle w:val="Hyperlink"/>
          <w:b/>
          <w:sz w:val="28"/>
          <w:szCs w:val="28"/>
        </w:rPr>
        <w:t>@</w:t>
      </w:r>
      <w:proofErr w:type="spellStart"/>
      <w:r>
        <w:rPr>
          <w:rStyle w:val="Hyperlink"/>
          <w:b/>
          <w:sz w:val="28"/>
          <w:szCs w:val="28"/>
        </w:rPr>
        <w:t>stephanygj</w:t>
      </w:r>
      <w:proofErr w:type="spellEnd"/>
    </w:p>
    <w:p w:rsidR="00A70D98" w:rsidRDefault="00FA1212" w:rsidP="00A16735">
      <w:pPr>
        <w:spacing w:line="360" w:lineRule="auto"/>
        <w:jc w:val="center"/>
        <w:rPr>
          <w:rStyle w:val="Hyperlink"/>
          <w:b/>
          <w:sz w:val="28"/>
          <w:szCs w:val="28"/>
        </w:rPr>
      </w:pPr>
      <w:hyperlink r:id="rId10" w:history="1">
        <w:r w:rsidR="00A70D98" w:rsidRPr="0074503F">
          <w:rPr>
            <w:rStyle w:val="Hyperlink"/>
            <w:b/>
            <w:sz w:val="28"/>
            <w:szCs w:val="28"/>
          </w:rPr>
          <w:t>www.policydialogue.org</w:t>
        </w:r>
      </w:hyperlink>
    </w:p>
    <w:p w:rsidR="009F2944" w:rsidRDefault="009F2944" w:rsidP="00A16735">
      <w:pPr>
        <w:spacing w:line="360" w:lineRule="auto"/>
        <w:jc w:val="center"/>
        <w:rPr>
          <w:b/>
          <w:sz w:val="28"/>
          <w:szCs w:val="28"/>
        </w:rPr>
      </w:pPr>
    </w:p>
    <w:p w:rsidR="00A70D98" w:rsidRDefault="00A70D98" w:rsidP="00A16735">
      <w:pPr>
        <w:spacing w:line="360" w:lineRule="auto"/>
        <w:jc w:val="center"/>
        <w:rPr>
          <w:b/>
          <w:sz w:val="28"/>
          <w:szCs w:val="28"/>
        </w:rPr>
      </w:pPr>
    </w:p>
    <w:p w:rsidR="001867E3" w:rsidRDefault="001867E3" w:rsidP="00A16735">
      <w:pPr>
        <w:spacing w:line="360" w:lineRule="auto"/>
        <w:jc w:val="center"/>
        <w:rPr>
          <w:b/>
          <w:sz w:val="28"/>
          <w:szCs w:val="28"/>
        </w:rPr>
      </w:pPr>
    </w:p>
    <w:p w:rsidR="006E0CA5" w:rsidRPr="00A16735" w:rsidRDefault="006E0CA5" w:rsidP="00A16735">
      <w:pPr>
        <w:spacing w:line="360" w:lineRule="auto"/>
        <w:rPr>
          <w:b/>
        </w:rPr>
      </w:pPr>
      <w:r w:rsidRPr="00A16735">
        <w:rPr>
          <w:b/>
        </w:rPr>
        <w:t>I Introduction</w:t>
      </w:r>
    </w:p>
    <w:p w:rsidR="0086760B" w:rsidRPr="00A16735" w:rsidRDefault="0086760B" w:rsidP="00A16735">
      <w:pPr>
        <w:spacing w:line="360" w:lineRule="auto"/>
      </w:pPr>
      <w:r w:rsidRPr="00A16735">
        <w:t>The inter</w:t>
      </w:r>
      <w:r w:rsidR="004937FE">
        <w:t>natio</w:t>
      </w:r>
      <w:r w:rsidR="009D3B7B">
        <w:t>nal community sees</w:t>
      </w:r>
      <w:r w:rsidR="004937FE">
        <w:t xml:space="preserve"> </w:t>
      </w:r>
      <w:r w:rsidR="009D3B7B">
        <w:t>sustained</w:t>
      </w:r>
      <w:r w:rsidR="009D3B7B" w:rsidRPr="00A16735">
        <w:t xml:space="preserve"> and inclusive growth </w:t>
      </w:r>
      <w:r w:rsidRPr="00A16735">
        <w:t>as its</w:t>
      </w:r>
      <w:r w:rsidR="004937FE">
        <w:t xml:space="preserve"> main economic aim</w:t>
      </w:r>
      <w:r w:rsidRPr="00A16735">
        <w:t>. At a national level, gover</w:t>
      </w:r>
      <w:r w:rsidR="00F8233B">
        <w:t>nments</w:t>
      </w:r>
      <w:r w:rsidRPr="00A16735">
        <w:t xml:space="preserve"> are broadly committed to the same goal. Additionally, in a globalized world economy, countries and enterprises need to be internationally competitive to sustain such growth.</w:t>
      </w:r>
    </w:p>
    <w:p w:rsidR="0086760B" w:rsidRPr="00A16735" w:rsidRDefault="000D7C95" w:rsidP="00A16735">
      <w:pPr>
        <w:spacing w:line="360" w:lineRule="auto"/>
      </w:pPr>
      <w:r>
        <w:t>A well-</w:t>
      </w:r>
      <w:r w:rsidR="006E0CA5" w:rsidRPr="00A16735">
        <w:t>functioning financial sector</w:t>
      </w:r>
      <w:r w:rsidR="0086760B" w:rsidRPr="00A16735">
        <w:t>, both national and international, needs to play important roles to achieve these aims. Indeed finance has been compared to the blood circulating in the body, enabling it to live and function well.</w:t>
      </w:r>
    </w:p>
    <w:p w:rsidR="0086760B" w:rsidRPr="00A16735" w:rsidRDefault="0086760B" w:rsidP="00A16735">
      <w:pPr>
        <w:spacing w:line="360" w:lineRule="auto"/>
      </w:pPr>
      <w:r w:rsidRPr="00A16735">
        <w:t xml:space="preserve">To achieve this key </w:t>
      </w:r>
      <w:r w:rsidR="000E4C61" w:rsidRPr="00A16735">
        <w:t xml:space="preserve">positive </w:t>
      </w:r>
      <w:r w:rsidRPr="00A16735">
        <w:t xml:space="preserve">role, the financial sector needs to encourage </w:t>
      </w:r>
      <w:r w:rsidR="00C71B5E" w:rsidRPr="00A16735">
        <w:t xml:space="preserve"> and mobilise </w:t>
      </w:r>
      <w:r w:rsidRPr="00A16735">
        <w:t>savings (for example by protecting</w:t>
      </w:r>
      <w:r w:rsidR="00C71B5E" w:rsidRPr="00A16735">
        <w:t xml:space="preserve"> the safety of savings), intermediate </w:t>
      </w:r>
      <w:r w:rsidRPr="00A16735">
        <w:t xml:space="preserve"> these savings at low cost</w:t>
      </w:r>
      <w:r w:rsidR="00F8233B">
        <w:t>,</w:t>
      </w:r>
      <w:r w:rsidR="00C71B5E" w:rsidRPr="00A16735">
        <w:t xml:space="preserve"> ensure savings are channelled </w:t>
      </w:r>
      <w:r w:rsidRPr="00A16735">
        <w:t xml:space="preserve"> into efficient investmen</w:t>
      </w:r>
      <w:r w:rsidR="00F8233B">
        <w:t>t,</w:t>
      </w:r>
      <w:r w:rsidRPr="00A16735">
        <w:t xml:space="preserve"> </w:t>
      </w:r>
      <w:r w:rsidR="003759E3">
        <w:t>as well as</w:t>
      </w:r>
      <w:r w:rsidR="00C71B5E" w:rsidRPr="00A16735">
        <w:t xml:space="preserve"> helping </w:t>
      </w:r>
      <w:r w:rsidRPr="00A16735">
        <w:t xml:space="preserve">manage </w:t>
      </w:r>
      <w:r w:rsidR="000D7C95">
        <w:t xml:space="preserve">the </w:t>
      </w:r>
      <w:r w:rsidRPr="00A16735">
        <w:t xml:space="preserve">risks for individuals and enterprises. </w:t>
      </w:r>
      <w:r w:rsidR="000E4C61" w:rsidRPr="00A16735">
        <w:t>Because the financial sector has such important</w:t>
      </w:r>
      <w:r w:rsidR="003759E3">
        <w:t xml:space="preserve"> effects throughout the economy</w:t>
      </w:r>
      <w:r w:rsidR="000E4C61" w:rsidRPr="00A16735">
        <w:t xml:space="preserve"> it also needs to</w:t>
      </w:r>
      <w:r w:rsidR="004C2BE4" w:rsidRPr="00A16735">
        <w:t xml:space="preserve"> adhere to </w:t>
      </w:r>
      <w:r w:rsidR="000E4C61" w:rsidRPr="00A16735">
        <w:t xml:space="preserve">a key principle of the </w:t>
      </w:r>
      <w:r w:rsidR="00321F82" w:rsidRPr="00A16735">
        <w:t>Hippocratic</w:t>
      </w:r>
      <w:r w:rsidR="000E4C61" w:rsidRPr="00A16735">
        <w:t xml:space="preserve"> oath that medical do</w:t>
      </w:r>
      <w:r w:rsidR="008722D1" w:rsidRPr="00A16735">
        <w:t xml:space="preserve">ctors swear to, which is to do </w:t>
      </w:r>
      <w:r w:rsidR="000E4C61" w:rsidRPr="00A16735">
        <w:t>no harm</w:t>
      </w:r>
      <w:r w:rsidR="004C2BE4" w:rsidRPr="00A16735">
        <w:t xml:space="preserve"> to the rest of the economy</w:t>
      </w:r>
      <w:r w:rsidR="003759E3">
        <w:t>. T</w:t>
      </w:r>
      <w:r w:rsidR="00C71B5E" w:rsidRPr="00A16735">
        <w:t>herefore there should be as few and as small crises that stem from the financial sector, as these have huge costs, both fiscal and on growth, employment and investment.</w:t>
      </w:r>
    </w:p>
    <w:p w:rsidR="00C71B5E" w:rsidRPr="00A16735" w:rsidRDefault="00C71B5E" w:rsidP="00A16735">
      <w:pPr>
        <w:spacing w:line="360" w:lineRule="auto"/>
      </w:pPr>
      <w:r w:rsidRPr="00A16735">
        <w:t>It could be argued that the financial sector performed these functions relatively well</w:t>
      </w:r>
      <w:r w:rsidR="008722D1" w:rsidRPr="00A16735">
        <w:t xml:space="preserve"> both in developing and developed countries</w:t>
      </w:r>
      <w:r w:rsidRPr="00A16735">
        <w:t xml:space="preserve"> in the post -World War II period. Domestic financial sectors were relatively small and fairly tightly regulated, partly because after the Great Depression a number of regulatory measures were applied, including the Glass</w:t>
      </w:r>
      <w:r w:rsidR="00E7174C" w:rsidRPr="00A16735">
        <w:t>-</w:t>
      </w:r>
      <w:r w:rsidRPr="00A16735">
        <w:t xml:space="preserve"> </w:t>
      </w:r>
      <w:proofErr w:type="spellStart"/>
      <w:r w:rsidRPr="00A16735">
        <w:t>Steagall</w:t>
      </w:r>
      <w:proofErr w:type="spellEnd"/>
      <w:r w:rsidRPr="00A16735">
        <w:t xml:space="preserve"> Act</w:t>
      </w:r>
      <w:r w:rsidR="000E3957">
        <w:t xml:space="preserve"> that separated inv</w:t>
      </w:r>
      <w:r w:rsidR="002E1063">
        <w:t>estment and commercial banking as well as</w:t>
      </w:r>
      <w:r w:rsidR="000E3957">
        <w:t xml:space="preserve"> </w:t>
      </w:r>
      <w:r w:rsidR="002E1063">
        <w:t xml:space="preserve">the existence of </w:t>
      </w:r>
      <w:r w:rsidR="000E3957">
        <w:t>requirements for liquidity</w:t>
      </w:r>
      <w:r w:rsidRPr="00A16735">
        <w:t>. At the same time, capital accounts were relatively cl</w:t>
      </w:r>
      <w:r w:rsidR="00214F30" w:rsidRPr="00A16735">
        <w:t>osed</w:t>
      </w:r>
      <w:r w:rsidR="00763977" w:rsidRPr="00A16735">
        <w:t xml:space="preserve">, especially in developing </w:t>
      </w:r>
      <w:r w:rsidR="002E1063">
        <w:t>countries. D</w:t>
      </w:r>
      <w:r w:rsidR="00763977" w:rsidRPr="00A16735">
        <w:t>eveloped countries liberalized their capital accoun</w:t>
      </w:r>
      <w:r w:rsidR="00981145">
        <w:t>ts, but most did so very slowly</w:t>
      </w:r>
      <w:r w:rsidR="00763977" w:rsidRPr="00A16735">
        <w:t xml:space="preserve"> (Griffith-Jones et al,</w:t>
      </w:r>
      <w:r w:rsidR="00165C8F">
        <w:t xml:space="preserve"> </w:t>
      </w:r>
      <w:r w:rsidR="00763977" w:rsidRPr="00A16735">
        <w:t>2003).</w:t>
      </w:r>
    </w:p>
    <w:p w:rsidR="00763977" w:rsidRPr="00A16735" w:rsidRDefault="00763977" w:rsidP="00A16735">
      <w:pPr>
        <w:spacing w:line="360" w:lineRule="auto"/>
      </w:pPr>
      <w:r w:rsidRPr="00A16735">
        <w:t>Howe</w:t>
      </w:r>
      <w:r w:rsidR="00AB232B">
        <w:t xml:space="preserve">ver, from a policy perspective </w:t>
      </w:r>
      <w:r w:rsidRPr="00A16735">
        <w:t>there were concerns that “financially repressed” systems, as they were then called, did not deliver sufficient finance to important sectors at low</w:t>
      </w:r>
      <w:r w:rsidR="00AB232B">
        <w:t xml:space="preserve"> enough</w:t>
      </w:r>
      <w:r w:rsidRPr="00A16735">
        <w:t xml:space="preserve"> cost and </w:t>
      </w:r>
      <w:r w:rsidR="00AB232B">
        <w:t xml:space="preserve">at </w:t>
      </w:r>
      <w:r w:rsidRPr="00A16735">
        <w:t>long</w:t>
      </w:r>
      <w:r w:rsidR="00AB232B">
        <w:t xml:space="preserve"> enough</w:t>
      </w:r>
      <w:r w:rsidRPr="00A16735">
        <w:t xml:space="preserve"> maturity. From a more theoretical perspective, </w:t>
      </w:r>
      <w:r w:rsidR="00AB232B">
        <w:t xml:space="preserve">the idea that </w:t>
      </w:r>
      <w:r w:rsidRPr="00A16735">
        <w:t>f</w:t>
      </w:r>
      <w:r w:rsidR="00AB232B">
        <w:t>inancial markets were efficient</w:t>
      </w:r>
      <w:r w:rsidRPr="00A16735">
        <w:t xml:space="preserve"> encoura</w:t>
      </w:r>
      <w:r w:rsidR="007A12F0">
        <w:t>ged financial liberalization,</w:t>
      </w:r>
      <w:r w:rsidR="004C7833">
        <w:t xml:space="preserve"> </w:t>
      </w:r>
      <w:r w:rsidR="00EE047E" w:rsidRPr="00A16735">
        <w:t>with light or no regulation. This</w:t>
      </w:r>
      <w:r w:rsidR="00AF5825" w:rsidRPr="00A16735">
        <w:t xml:space="preserve"> covered both domestic and external liberalization. Latin America was a first mover on liberalization in the late seventies, especially in the Southern Cone. This process was followed by frequent and costly crises, including the major Latin American debt crisis</w:t>
      </w:r>
      <w:r w:rsidR="00FA312E" w:rsidRPr="00A16735">
        <w:t xml:space="preserve">, which led to the “lost decade” in terms of growth and </w:t>
      </w:r>
      <w:r w:rsidR="00FA312E" w:rsidRPr="00A16735">
        <w:lastRenderedPageBreak/>
        <w:t>development</w:t>
      </w:r>
      <w:r w:rsidR="00AF5825" w:rsidRPr="00A16735">
        <w:t>. Diaz Alejandro</w:t>
      </w:r>
      <w:r w:rsidR="00FA312E" w:rsidRPr="00A16735">
        <w:t xml:space="preserve"> </w:t>
      </w:r>
      <w:r w:rsidR="00AF5825" w:rsidRPr="00A16735">
        <w:t>(19</w:t>
      </w:r>
      <w:r w:rsidR="000E3957">
        <w:t xml:space="preserve">85) already then perceptively </w:t>
      </w:r>
      <w:r w:rsidR="00F72880">
        <w:t>synthetiz</w:t>
      </w:r>
      <w:r w:rsidR="00F72880" w:rsidRPr="00A16735">
        <w:t>ed</w:t>
      </w:r>
      <w:r w:rsidR="00AF5825" w:rsidRPr="00A16735">
        <w:t xml:space="preserve"> this as</w:t>
      </w:r>
      <w:r w:rsidR="008722D1" w:rsidRPr="00A16735">
        <w:t>:</w:t>
      </w:r>
      <w:r w:rsidR="00AF5825" w:rsidRPr="00A16735">
        <w:t xml:space="preserve"> “Good-bye financial repression, hello financial crisis</w:t>
      </w:r>
      <w:r w:rsidR="00AB232B">
        <w:t>.”</w:t>
      </w:r>
      <w:r w:rsidR="00AF5825" w:rsidRPr="00A16735">
        <w:t xml:space="preserve">  </w:t>
      </w:r>
      <w:r w:rsidR="00FA312E" w:rsidRPr="00A16735">
        <w:t>Increasingly frequent crises in different parts of the developing and emerging world followed</w:t>
      </w:r>
      <w:r w:rsidR="008722D1" w:rsidRPr="00A16735">
        <w:t xml:space="preserve">, including </w:t>
      </w:r>
      <w:r w:rsidR="00631E03">
        <w:t xml:space="preserve">the East Asian crisis which involved </w:t>
      </w:r>
      <w:r w:rsidR="008722D1" w:rsidRPr="00A16735">
        <w:t>some of the most successful developing countries</w:t>
      </w:r>
      <w:r w:rsidR="00FE04AA" w:rsidRPr="00A16735">
        <w:t xml:space="preserve">. The idea that these </w:t>
      </w:r>
      <w:r w:rsidR="008722D1" w:rsidRPr="00A16735">
        <w:t xml:space="preserve">crises </w:t>
      </w:r>
      <w:r w:rsidR="00FE04AA" w:rsidRPr="00A16735">
        <w:t xml:space="preserve">were transitory problems, which would be overcome once these </w:t>
      </w:r>
      <w:r w:rsidR="008722D1" w:rsidRPr="00A16735">
        <w:t xml:space="preserve">financial </w:t>
      </w:r>
      <w:r w:rsidR="00FE04AA" w:rsidRPr="00A16735">
        <w:t>markets matured and deepened</w:t>
      </w:r>
      <w:r w:rsidR="009F248E">
        <w:t xml:space="preserve"> </w:t>
      </w:r>
      <w:r w:rsidR="00FE04AA" w:rsidRPr="00A16735">
        <w:t>(and became more like t</w:t>
      </w:r>
      <w:r w:rsidR="009F248E">
        <w:t>hose of the developed countries</w:t>
      </w:r>
      <w:r w:rsidR="00FE04AA" w:rsidRPr="00A16735">
        <w:t>, especially the US and the UK one) was profoundly challenged when such a major crisis hit the developed countries, starting</w:t>
      </w:r>
      <w:r w:rsidR="00E25950">
        <w:t xml:space="preserve"> in 2007</w:t>
      </w:r>
      <w:r w:rsidR="00FE04AA" w:rsidRPr="00A16735">
        <w:t xml:space="preserve"> in the US, which had the most liquid and deepest financial market</w:t>
      </w:r>
      <w:r w:rsidR="008329BE">
        <w:t xml:space="preserve"> in the world</w:t>
      </w:r>
      <w:r w:rsidR="00FE04AA" w:rsidRPr="00A16735">
        <w:t>.</w:t>
      </w:r>
    </w:p>
    <w:p w:rsidR="00FE04AA" w:rsidRPr="00A16735" w:rsidRDefault="0093523A" w:rsidP="00A16735">
      <w:pPr>
        <w:spacing w:line="360" w:lineRule="auto"/>
      </w:pPr>
      <w:r w:rsidRPr="00A16735">
        <w:t>Furthermore, increased sustainable access to credit at low cost</w:t>
      </w:r>
      <w:r w:rsidR="007A5D61">
        <w:t xml:space="preserve"> </w:t>
      </w:r>
      <w:r w:rsidR="007A5D61" w:rsidRPr="00A16735">
        <w:t>did not seem to improve as expected as a result of financial liberalization</w:t>
      </w:r>
      <w:r w:rsidRPr="00A16735">
        <w:t>, especially for SME</w:t>
      </w:r>
      <w:r w:rsidR="00667D23">
        <w:t>s and for long term investment (</w:t>
      </w:r>
      <w:r w:rsidRPr="00A16735">
        <w:t>e</w:t>
      </w:r>
      <w:r w:rsidR="009F248E">
        <w:t>.</w:t>
      </w:r>
      <w:r w:rsidRPr="00A16735">
        <w:t>g</w:t>
      </w:r>
      <w:r w:rsidR="009F248E">
        <w:t>.</w:t>
      </w:r>
      <w:r w:rsidRPr="00A16735">
        <w:t xml:space="preserve"> in infrastru</w:t>
      </w:r>
      <w:r w:rsidR="00667D23">
        <w:t>cture)</w:t>
      </w:r>
      <w:r w:rsidRPr="00A16735">
        <w:t>. Indeed, during and after crises, credit channels beca</w:t>
      </w:r>
      <w:r w:rsidR="007A5D61">
        <w:t>me blocked, especially for long-</w:t>
      </w:r>
      <w:r w:rsidRPr="00A16735">
        <w:t xml:space="preserve">term credit to the private sector. The pro-cyclical nature of domestic finance, as well as </w:t>
      </w:r>
      <w:r w:rsidR="00304980" w:rsidRPr="00A16735">
        <w:t xml:space="preserve">of </w:t>
      </w:r>
      <w:r w:rsidR="00EB07B6" w:rsidRPr="00A16735">
        <w:t xml:space="preserve">capital flows, </w:t>
      </w:r>
      <w:r w:rsidRPr="00A16735">
        <w:t>became extremely evident.</w:t>
      </w:r>
    </w:p>
    <w:p w:rsidR="00947B92" w:rsidRPr="00A16735" w:rsidRDefault="00304980" w:rsidP="00A16735">
      <w:pPr>
        <w:spacing w:line="360" w:lineRule="auto"/>
      </w:pPr>
      <w:r w:rsidRPr="00A16735">
        <w:t xml:space="preserve">An early insight </w:t>
      </w:r>
      <w:r w:rsidR="00BA445E" w:rsidRPr="00A16735">
        <w:t>on why liberalized financial market</w:t>
      </w:r>
      <w:r w:rsidR="007A5D61">
        <w:t xml:space="preserve">s can be particularly damaging and much more so than the </w:t>
      </w:r>
      <w:r w:rsidR="00EB07B6" w:rsidRPr="00A16735">
        <w:t xml:space="preserve">liberalization of other markets, </w:t>
      </w:r>
      <w:r w:rsidR="00BA445E" w:rsidRPr="00A16735">
        <w:t>comes from Stiglitz</w:t>
      </w:r>
      <w:r w:rsidR="00EB07B6" w:rsidRPr="00A16735">
        <w:t xml:space="preserve"> </w:t>
      </w:r>
      <w:r w:rsidR="007A5D61">
        <w:t>(1994)</w:t>
      </w:r>
      <w:r w:rsidR="00BA445E" w:rsidRPr="00A16735">
        <w:t xml:space="preserve"> who argues that market failures in financial markets are likely to be endemic as those markets are particularly information intensive</w:t>
      </w:r>
      <w:r w:rsidR="00947B92" w:rsidRPr="00A16735">
        <w:t>, thus making information</w:t>
      </w:r>
      <w:r w:rsidR="009F7345">
        <w:t xml:space="preserve"> imperfections and</w:t>
      </w:r>
      <w:r w:rsidR="007A5D61">
        <w:t xml:space="preserve"> asymmetries</w:t>
      </w:r>
      <w:r w:rsidR="00947B92" w:rsidRPr="00A16735">
        <w:t xml:space="preserve"> as well as incomplete contracts</w:t>
      </w:r>
      <w:r w:rsidR="008722D1" w:rsidRPr="00A16735">
        <w:t xml:space="preserve"> </w:t>
      </w:r>
      <w:r w:rsidR="00E25950">
        <w:t xml:space="preserve">(Stiglitz and Weiss, </w:t>
      </w:r>
      <w:r w:rsidR="00947B92" w:rsidRPr="00A16735">
        <w:t>1981) more important and disruptive</w:t>
      </w:r>
      <w:r w:rsidR="008722D1" w:rsidRPr="00A16735">
        <w:t xml:space="preserve"> than in other economic sectors</w:t>
      </w:r>
      <w:r w:rsidR="007A5D61" w:rsidRPr="00E25950">
        <w:t>. T</w:t>
      </w:r>
      <w:r w:rsidR="008722D1" w:rsidRPr="00E25950">
        <w:t xml:space="preserve">herefore in important parts </w:t>
      </w:r>
      <w:r w:rsidR="00BA445E" w:rsidRPr="00E25950">
        <w:t>of fina</w:t>
      </w:r>
      <w:r w:rsidR="00E25950" w:rsidRPr="00E25950">
        <w:t>ncial markets, market failures tend to be</w:t>
      </w:r>
      <w:r w:rsidR="00BA445E" w:rsidRPr="00E25950">
        <w:t xml:space="preserve"> greater than government failure</w:t>
      </w:r>
      <w:r w:rsidR="00E25950" w:rsidRPr="00E25950">
        <w:t>s</w:t>
      </w:r>
      <w:r w:rsidR="00BA445E" w:rsidRPr="00E25950">
        <w:t>.</w:t>
      </w:r>
      <w:r w:rsidR="00BA445E" w:rsidRPr="009F7345">
        <w:rPr>
          <w:b/>
        </w:rPr>
        <w:t xml:space="preserve"> </w:t>
      </w:r>
      <w:r w:rsidR="009F7345">
        <w:t>In such cases</w:t>
      </w:r>
      <w:r w:rsidR="00BA445E" w:rsidRPr="00A16735">
        <w:t xml:space="preserve"> government intervention</w:t>
      </w:r>
      <w:r w:rsidR="008722D1" w:rsidRPr="00A16735">
        <w:t xml:space="preserve">s are </w:t>
      </w:r>
      <w:r w:rsidR="008329BE">
        <w:t xml:space="preserve">more </w:t>
      </w:r>
      <w:r w:rsidR="008722D1" w:rsidRPr="00A16735">
        <w:t>desirable</w:t>
      </w:r>
      <w:r w:rsidR="008329BE">
        <w:t xml:space="preserve"> than in other sectors</w:t>
      </w:r>
      <w:r w:rsidR="008722D1" w:rsidRPr="00A16735">
        <w:t xml:space="preserve"> </w:t>
      </w:r>
      <w:r w:rsidR="00BA445E" w:rsidRPr="00A16735">
        <w:t xml:space="preserve">(for example </w:t>
      </w:r>
      <w:r w:rsidR="00EB07B6" w:rsidRPr="00A16735">
        <w:t xml:space="preserve">via </w:t>
      </w:r>
      <w:r w:rsidR="00BA445E" w:rsidRPr="00A16735">
        <w:t>regulation of domestic financial markets and banks, as well as management of the capital account)</w:t>
      </w:r>
      <w:r w:rsidR="009F7345">
        <w:t xml:space="preserve"> </w:t>
      </w:r>
      <w:r w:rsidR="008722D1" w:rsidRPr="00A16735">
        <w:t xml:space="preserve">if </w:t>
      </w:r>
      <w:r w:rsidR="009F7345">
        <w:t>their</w:t>
      </w:r>
      <w:r w:rsidR="00EB07B6" w:rsidRPr="00A16735">
        <w:t xml:space="preserve"> benefits outweigh </w:t>
      </w:r>
      <w:r w:rsidR="009F7345">
        <w:t xml:space="preserve">their </w:t>
      </w:r>
      <w:r w:rsidR="00EB07B6" w:rsidRPr="00A16735">
        <w:t xml:space="preserve">costs. </w:t>
      </w:r>
    </w:p>
    <w:p w:rsidR="00304980" w:rsidRPr="00A16735" w:rsidRDefault="00EB07B6" w:rsidP="00A16735">
      <w:pPr>
        <w:spacing w:line="360" w:lineRule="auto"/>
      </w:pPr>
      <w:r w:rsidRPr="00A16735">
        <w:t xml:space="preserve">This </w:t>
      </w:r>
      <w:r w:rsidR="008329BE">
        <w:t xml:space="preserve">approach to finance </w:t>
      </w:r>
      <w:r w:rsidRPr="00A16735">
        <w:t>is consistent with far freer markets in the rest of the economy, in sectors where markets are more efficient than governments. Indeed, it can be argued that the prevalence of market failures i</w:t>
      </w:r>
      <w:r w:rsidR="009F7345">
        <w:t>n financial and banking markets makes sufficient regulation</w:t>
      </w:r>
      <w:r w:rsidRPr="00A16735">
        <w:t xml:space="preserve"> a </w:t>
      </w:r>
      <w:r w:rsidR="00947B92" w:rsidRPr="00A16735">
        <w:t xml:space="preserve">key </w:t>
      </w:r>
      <w:r w:rsidRPr="00A16735">
        <w:t>pre-condition for the succe</w:t>
      </w:r>
      <w:r w:rsidR="008722D1" w:rsidRPr="00A16735">
        <w:t>ssful operation of the market</w:t>
      </w:r>
      <w:r w:rsidR="00947B92" w:rsidRPr="00A16735">
        <w:t xml:space="preserve"> in the rest of the economy</w:t>
      </w:r>
      <w:r w:rsidRPr="00A16735">
        <w:t xml:space="preserve">. The link with the real economy is clearly put by </w:t>
      </w:r>
      <w:proofErr w:type="spellStart"/>
      <w:r w:rsidRPr="00A16735">
        <w:t>Mishkin</w:t>
      </w:r>
      <w:proofErr w:type="spellEnd"/>
      <w:r w:rsidRPr="00A16735">
        <w:t xml:space="preserve"> (1996), who writes that a ”financial crisis is a non-linear disruption to financial markets in which adverse selection and moral hazard problems become much worse, so that financial markets are unable to efficiently channel funds to those who have the most productive efficient opportunities</w:t>
      </w:r>
      <w:r w:rsidR="00947B92" w:rsidRPr="00A16735">
        <w:t>.</w:t>
      </w:r>
      <w:r w:rsidR="00E25950">
        <w:t>”</w:t>
      </w:r>
    </w:p>
    <w:p w:rsidR="00947B92" w:rsidRPr="00A16735" w:rsidRDefault="00947B92" w:rsidP="00A16735">
      <w:pPr>
        <w:spacing w:line="360" w:lineRule="auto"/>
      </w:pPr>
      <w:r w:rsidRPr="00A16735">
        <w:t xml:space="preserve">A key market imperfection in the operation of financial markets, basically across the board, </w:t>
      </w:r>
      <w:r w:rsidR="0079478A" w:rsidRPr="00A16735">
        <w:t>is the tendency t</w:t>
      </w:r>
      <w:r w:rsidR="008329BE">
        <w:t>o “boom-bust”, thoroughly analy</w:t>
      </w:r>
      <w:r w:rsidR="007B4F39" w:rsidRPr="00A16735">
        <w:t>s</w:t>
      </w:r>
      <w:r w:rsidR="008329BE">
        <w:t xml:space="preserve">ed in historical terms </w:t>
      </w:r>
      <w:r w:rsidR="0002530B">
        <w:t xml:space="preserve">in </w:t>
      </w:r>
      <w:r w:rsidR="0079478A" w:rsidRPr="00A16735">
        <w:t xml:space="preserve">the book by Reinhart and </w:t>
      </w:r>
      <w:proofErr w:type="spellStart"/>
      <w:r w:rsidR="0079478A" w:rsidRPr="00A16735">
        <w:lastRenderedPageBreak/>
        <w:t>Rogoff</w:t>
      </w:r>
      <w:proofErr w:type="spellEnd"/>
      <w:r w:rsidR="0079478A" w:rsidRPr="00A16735">
        <w:t xml:space="preserve"> (2011).</w:t>
      </w:r>
      <w:r w:rsidR="007B4F39" w:rsidRPr="00A16735">
        <w:t xml:space="preserve"> </w:t>
      </w:r>
      <w:r w:rsidRPr="00A16735">
        <w:t xml:space="preserve">Building on the theoretical tradition </w:t>
      </w:r>
      <w:r w:rsidR="00242CC7">
        <w:t>of Marshall</w:t>
      </w:r>
      <w:r w:rsidRPr="00A16735">
        <w:t xml:space="preserve"> (1923), Keynes</w:t>
      </w:r>
      <w:r w:rsidR="007B4F39" w:rsidRPr="00A16735">
        <w:t xml:space="preserve"> </w:t>
      </w:r>
      <w:r w:rsidRPr="00A16735">
        <w:t xml:space="preserve">(1936) and Minsky (1977), Kindleberger (1978) </w:t>
      </w:r>
      <w:r w:rsidR="007B4F39" w:rsidRPr="00A16735">
        <w:t xml:space="preserve">had earlier </w:t>
      </w:r>
      <w:r w:rsidRPr="00A16735">
        <w:t>developed an approach which considers financial crises as a response to previous excesses. Such excesses seem clearly far greater in financial and banking markets that are more liberalized and not properly regulated.</w:t>
      </w:r>
      <w:r w:rsidR="0079478A" w:rsidRPr="00A16735">
        <w:t xml:space="preserve">  An interesting recent insight</w:t>
      </w:r>
      <w:r w:rsidR="008722D1" w:rsidRPr="00A16735">
        <w:t xml:space="preserve"> on private capital flows </w:t>
      </w:r>
      <w:r w:rsidR="0079478A" w:rsidRPr="00A16735">
        <w:t xml:space="preserve"> is provided </w:t>
      </w:r>
      <w:r w:rsidR="008722D1" w:rsidRPr="00A16735">
        <w:t>by the IMF</w:t>
      </w:r>
      <w:r w:rsidR="00901E03">
        <w:t xml:space="preserve"> (2011)</w:t>
      </w:r>
      <w:r w:rsidR="008722D1" w:rsidRPr="00A16735">
        <w:t xml:space="preserve"> </w:t>
      </w:r>
      <w:r w:rsidR="008722D1" w:rsidRPr="00E25950">
        <w:t>which gives</w:t>
      </w:r>
      <w:r w:rsidR="0079478A" w:rsidRPr="00E25950">
        <w:t xml:space="preserve"> evidence that financial market volatility has increased over time and</w:t>
      </w:r>
      <w:r w:rsidR="00E25950" w:rsidRPr="00E25950">
        <w:t xml:space="preserve"> has</w:t>
      </w:r>
      <w:r w:rsidR="0079478A" w:rsidRPr="00E25950">
        <w:t xml:space="preserve"> spread to transactions </w:t>
      </w:r>
      <w:r w:rsidR="007B4F39" w:rsidRPr="00E25950">
        <w:t xml:space="preserve"> and flows </w:t>
      </w:r>
      <w:r w:rsidR="0079478A" w:rsidRPr="00E25950">
        <w:t>which are generally considered to be less volatile (such as foreign direct investment).</w:t>
      </w:r>
      <w:r w:rsidR="001F2CDB" w:rsidRPr="00A16735">
        <w:t xml:space="preserve"> </w:t>
      </w:r>
    </w:p>
    <w:p w:rsidR="00A15293" w:rsidRPr="00A16735" w:rsidRDefault="00F26345" w:rsidP="00A16735">
      <w:pPr>
        <w:spacing w:line="360" w:lineRule="auto"/>
      </w:pPr>
      <w:r w:rsidRPr="00A16735">
        <w:t>In the case of “booms and busts” of capital flows to developing and emerging economies, this was first seen in the post</w:t>
      </w:r>
      <w:r w:rsidRPr="00BE7574">
        <w:t xml:space="preserve">- </w:t>
      </w:r>
      <w:r w:rsidR="00496131" w:rsidRPr="00BE7574">
        <w:t xml:space="preserve">World </w:t>
      </w:r>
      <w:r w:rsidRPr="00BE7574">
        <w:t xml:space="preserve">War  II </w:t>
      </w:r>
      <w:r w:rsidR="00496131" w:rsidRPr="00BE7574">
        <w:t>era</w:t>
      </w:r>
      <w:r w:rsidR="00496131" w:rsidRPr="00A16735">
        <w:rPr>
          <w:u w:val="words"/>
        </w:rPr>
        <w:t xml:space="preserve"> </w:t>
      </w:r>
      <w:r w:rsidRPr="00A16735">
        <w:t xml:space="preserve"> in a major way in Latin America , starting in the late 1970s and ending in the major  debt crisis of the 1980s, called the “lost decade” to development. This pattern was characterized by Ffrench-Davis a</w:t>
      </w:r>
      <w:r w:rsidR="00260257" w:rsidRPr="00A16735">
        <w:t>n</w:t>
      </w:r>
      <w:r w:rsidRPr="00A16735">
        <w:t>d Griffith-Jones (1994) as surges and reversals of capital flows; more famously the reversals were call</w:t>
      </w:r>
      <w:r w:rsidR="004C7833">
        <w:t xml:space="preserve">ed “sudden stops” by </w:t>
      </w:r>
      <w:r w:rsidR="00496131" w:rsidRPr="00A16735">
        <w:t xml:space="preserve">Guillermo </w:t>
      </w:r>
      <w:proofErr w:type="spellStart"/>
      <w:r w:rsidRPr="00A16735">
        <w:t>Calvo</w:t>
      </w:r>
      <w:proofErr w:type="spellEnd"/>
      <w:r w:rsidRPr="00A16735">
        <w:t xml:space="preserve"> and as</w:t>
      </w:r>
      <w:r w:rsidR="00BE7574">
        <w:t>sociates. In an important paper</w:t>
      </w:r>
      <w:r w:rsidRPr="00A16735">
        <w:t xml:space="preserve"> </w:t>
      </w:r>
      <w:proofErr w:type="spellStart"/>
      <w:r w:rsidRPr="00A16735">
        <w:t>Calvo</w:t>
      </w:r>
      <w:proofErr w:type="spellEnd"/>
      <w:r w:rsidRPr="00A16735">
        <w:t xml:space="preserve">, </w:t>
      </w:r>
      <w:proofErr w:type="spellStart"/>
      <w:r w:rsidRPr="00A16735">
        <w:t>Leiderman</w:t>
      </w:r>
      <w:proofErr w:type="spellEnd"/>
      <w:r w:rsidRPr="00A16735">
        <w:t xml:space="preserve"> and Reinhart</w:t>
      </w:r>
      <w:r w:rsidR="007A5D61">
        <w:t xml:space="preserve"> </w:t>
      </w:r>
      <w:r w:rsidR="00BE7574">
        <w:t>(1993) showed</w:t>
      </w:r>
      <w:r w:rsidRPr="00A16735">
        <w:t xml:space="preserve"> that an import</w:t>
      </w:r>
      <w:r w:rsidR="00BE7574">
        <w:t>ant part of the surge was being</w:t>
      </w:r>
      <w:r w:rsidRPr="00A16735">
        <w:t xml:space="preserve"> caused by factors external to the region, e</w:t>
      </w:r>
      <w:r w:rsidR="00E25950">
        <w:t>specially the US</w:t>
      </w:r>
      <w:r w:rsidR="00E36936">
        <w:t xml:space="preserve"> interest rate.</w:t>
      </w:r>
      <w:r w:rsidRPr="00A16735">
        <w:t xml:space="preserve"> </w:t>
      </w:r>
      <w:proofErr w:type="spellStart"/>
      <w:r w:rsidR="00A15293" w:rsidRPr="00A16735">
        <w:t>Calvo</w:t>
      </w:r>
      <w:proofErr w:type="spellEnd"/>
      <w:r w:rsidR="00496131" w:rsidRPr="00A16735">
        <w:t xml:space="preserve"> </w:t>
      </w:r>
      <w:r w:rsidR="00A15293" w:rsidRPr="00A16735">
        <w:t>(2013)</w:t>
      </w:r>
      <w:r w:rsidR="00E36936">
        <w:t xml:space="preserve"> later described</w:t>
      </w:r>
      <w:r w:rsidR="00A15293" w:rsidRPr="00A16735">
        <w:t xml:space="preserve"> how this paper</w:t>
      </w:r>
      <w:r w:rsidR="00496131" w:rsidRPr="00A16735">
        <w:t xml:space="preserve"> and its’</w:t>
      </w:r>
      <w:r w:rsidR="008329BE">
        <w:t xml:space="preserve"> </w:t>
      </w:r>
      <w:r w:rsidR="00E36936">
        <w:t>main conclusions were</w:t>
      </w:r>
      <w:r w:rsidR="00496131" w:rsidRPr="00A16735">
        <w:t xml:space="preserve"> </w:t>
      </w:r>
      <w:r w:rsidR="00A15293" w:rsidRPr="00A16735">
        <w:t>challenged particularly at the IM</w:t>
      </w:r>
      <w:r w:rsidR="009376A9">
        <w:t>F, who</w:t>
      </w:r>
      <w:r w:rsidR="00A15293" w:rsidRPr="00A16735">
        <w:t xml:space="preserve"> then attributed such flows only or mainly to “good fundamentals” in the countries, and did not contemplate the role of global capital markets</w:t>
      </w:r>
      <w:r w:rsidR="009376A9">
        <w:t xml:space="preserve"> and their imperfections</w:t>
      </w:r>
      <w:r w:rsidR="00A15293" w:rsidRPr="00A16735">
        <w:t xml:space="preserve"> in th</w:t>
      </w:r>
      <w:r w:rsidR="00496131" w:rsidRPr="00A16735">
        <w:t>e origin of major capital flows surges and reversals.</w:t>
      </w:r>
      <w:r w:rsidR="00A15293" w:rsidRPr="00A16735">
        <w:t xml:space="preserve"> </w:t>
      </w:r>
      <w:r w:rsidR="003F703D">
        <w:t>The IMF has,</w:t>
      </w:r>
      <w:r w:rsidR="00496131" w:rsidRPr="00A16735">
        <w:t xml:space="preserve"> however, </w:t>
      </w:r>
      <w:r w:rsidR="00421AE2" w:rsidRPr="00A16735">
        <w:t>increasingly accepted the role of international capital market i</w:t>
      </w:r>
      <w:r w:rsidR="009376A9">
        <w:t>mperfections in generating boom-bust cycles of capital flows</w:t>
      </w:r>
      <w:r w:rsidR="00421AE2" w:rsidRPr="00A16735">
        <w:t xml:space="preserve"> and </w:t>
      </w:r>
      <w:r w:rsidR="009376A9">
        <w:t xml:space="preserve">has </w:t>
      </w:r>
      <w:r w:rsidR="00421AE2" w:rsidRPr="00A16735">
        <w:t>begun</w:t>
      </w:r>
      <w:r w:rsidR="009376A9">
        <w:t xml:space="preserve"> </w:t>
      </w:r>
      <w:r w:rsidR="004C7833">
        <w:t>-</w:t>
      </w:r>
      <w:r w:rsidR="009376A9">
        <w:t xml:space="preserve"> </w:t>
      </w:r>
      <w:r w:rsidR="004C7833">
        <w:t>especially more recently</w:t>
      </w:r>
      <w:r w:rsidR="009376A9">
        <w:t xml:space="preserve"> </w:t>
      </w:r>
      <w:r w:rsidR="004C7833">
        <w:t>-</w:t>
      </w:r>
      <w:r w:rsidR="00421AE2" w:rsidRPr="00A16735">
        <w:t xml:space="preserve"> to draw imp</w:t>
      </w:r>
      <w:r w:rsidR="008329BE">
        <w:t xml:space="preserve">ortant </w:t>
      </w:r>
      <w:r w:rsidR="00421AE2" w:rsidRPr="00A16735">
        <w:t>policy implications from this experience, as discussed below.</w:t>
      </w:r>
    </w:p>
    <w:p w:rsidR="00F26345" w:rsidRPr="00A16735" w:rsidRDefault="00A15293" w:rsidP="00A16735">
      <w:pPr>
        <w:spacing w:line="360" w:lineRule="auto"/>
      </w:pPr>
      <w:r w:rsidRPr="00A16735">
        <w:t>As Devlin, French-Davis and Griffith-Jones (1994) argued, an important part of the</w:t>
      </w:r>
      <w:r w:rsidR="00091FBD" w:rsidRPr="00A16735">
        <w:t xml:space="preserve"> explanation of both the surges</w:t>
      </w:r>
      <w:r w:rsidR="004C7833">
        <w:t>, and the subsequent reversals</w:t>
      </w:r>
      <w:r w:rsidR="00496131" w:rsidRPr="00A16735">
        <w:t>,</w:t>
      </w:r>
      <w:r w:rsidR="008329BE">
        <w:t xml:space="preserve"> </w:t>
      </w:r>
      <w:r w:rsidRPr="00A16735">
        <w:t xml:space="preserve">were due to intrinsic features on the “supply side” of capital flows. This included institutional features, such as </w:t>
      </w:r>
      <w:r w:rsidR="00496131" w:rsidRPr="00A16735">
        <w:t xml:space="preserve">very </w:t>
      </w:r>
      <w:r w:rsidRPr="00A16735">
        <w:t>short ter</w:t>
      </w:r>
      <w:r w:rsidR="003F703D">
        <w:t>m incentives to key actors, such as</w:t>
      </w:r>
      <w:r w:rsidRPr="00A16735">
        <w:t xml:space="preserve"> </w:t>
      </w:r>
      <w:r w:rsidR="00091FBD" w:rsidRPr="00A16735">
        <w:t xml:space="preserve">internationally active </w:t>
      </w:r>
      <w:r w:rsidRPr="00A16735">
        <w:t>pension and mutual funds</w:t>
      </w:r>
      <w:r w:rsidR="00091FBD" w:rsidRPr="00A16735">
        <w:t xml:space="preserve"> as well as investment bankers, </w:t>
      </w:r>
      <w:r w:rsidRPr="00A16735">
        <w:t>that contributed to herding</w:t>
      </w:r>
      <w:r w:rsidR="003F703D">
        <w:t xml:space="preserve"> behaviour</w:t>
      </w:r>
      <w:r w:rsidR="00BA426D">
        <w:t xml:space="preserve"> </w:t>
      </w:r>
      <w:r w:rsidR="003F703D">
        <w:t>(</w:t>
      </w:r>
      <w:r w:rsidR="008329BE">
        <w:t>for more detailed analysis</w:t>
      </w:r>
      <w:r w:rsidR="003F703D">
        <w:t xml:space="preserve"> see</w:t>
      </w:r>
      <w:r w:rsidR="00091FBD" w:rsidRPr="00A16735">
        <w:t xml:space="preserve"> Griffith-Jones, 1998).</w:t>
      </w:r>
      <w:r w:rsidR="00F018F4">
        <w:t xml:space="preserve"> There were -</w:t>
      </w:r>
      <w:r w:rsidR="00091FBD" w:rsidRPr="00A16735">
        <w:t xml:space="preserve"> and </w:t>
      </w:r>
      <w:r w:rsidR="00F018F4">
        <w:t xml:space="preserve">still </w:t>
      </w:r>
      <w:r w:rsidR="00091FBD" w:rsidRPr="00A16735">
        <w:t>are</w:t>
      </w:r>
      <w:r w:rsidR="00F018F4">
        <w:t xml:space="preserve"> - </w:t>
      </w:r>
      <w:r w:rsidR="00091FBD" w:rsidRPr="00A16735">
        <w:t>many such institution</w:t>
      </w:r>
      <w:r w:rsidR="00F018F4">
        <w:t>al features</w:t>
      </w:r>
      <w:r w:rsidR="00091FBD" w:rsidRPr="00A16735">
        <w:t xml:space="preserve"> which</w:t>
      </w:r>
      <w:r w:rsidR="002244F2" w:rsidRPr="00A16735">
        <w:t xml:space="preserve"> contribute to this </w:t>
      </w:r>
      <w:r w:rsidR="00091FBD" w:rsidRPr="00A16735">
        <w:t xml:space="preserve">pattern of capital flows, such as the </w:t>
      </w:r>
      <w:r w:rsidR="00F018F4">
        <w:t xml:space="preserve">pro-cyclical </w:t>
      </w:r>
      <w:r w:rsidR="002244F2" w:rsidRPr="00A16735">
        <w:t xml:space="preserve">methodologies and </w:t>
      </w:r>
      <w:r w:rsidR="00091FBD" w:rsidRPr="00A16735">
        <w:t>beh</w:t>
      </w:r>
      <w:r w:rsidR="002244F2" w:rsidRPr="00A16735">
        <w:t>aviour of rating agencies</w:t>
      </w:r>
      <w:r w:rsidR="00421AE2" w:rsidRPr="00A16735">
        <w:t xml:space="preserve"> </w:t>
      </w:r>
      <w:r w:rsidR="00496131" w:rsidRPr="00A16735">
        <w:t>(</w:t>
      </w:r>
      <w:r w:rsidR="002244F2" w:rsidRPr="00A16735">
        <w:t xml:space="preserve">see </w:t>
      </w:r>
      <w:proofErr w:type="spellStart"/>
      <w:r w:rsidR="002244F2" w:rsidRPr="00A16735">
        <w:t>Reisen</w:t>
      </w:r>
      <w:proofErr w:type="spellEnd"/>
      <w:r w:rsidR="002244F2" w:rsidRPr="00A16735">
        <w:t>,</w:t>
      </w:r>
      <w:r w:rsidR="003A20EF">
        <w:t xml:space="preserve"> 2003</w:t>
      </w:r>
      <w:r w:rsidR="00496131" w:rsidRPr="00A16735">
        <w:t xml:space="preserve">; </w:t>
      </w:r>
      <w:proofErr w:type="spellStart"/>
      <w:r w:rsidR="00496131" w:rsidRPr="00A16735">
        <w:t>Goodhart</w:t>
      </w:r>
      <w:proofErr w:type="spellEnd"/>
      <w:r w:rsidR="008329BE">
        <w:t>,</w:t>
      </w:r>
      <w:r w:rsidR="00141B6A">
        <w:t xml:space="preserve"> </w:t>
      </w:r>
      <w:r w:rsidR="008329BE">
        <w:t>2010</w:t>
      </w:r>
      <w:r w:rsidR="002244F2" w:rsidRPr="00A16735">
        <w:t>).</w:t>
      </w:r>
    </w:p>
    <w:p w:rsidR="001B542E" w:rsidRPr="00A16735" w:rsidRDefault="00260257" w:rsidP="00A16735">
      <w:pPr>
        <w:spacing w:line="360" w:lineRule="auto"/>
        <w:rPr>
          <w:rFonts w:cstheme="minorHAnsi"/>
        </w:rPr>
      </w:pPr>
      <w:r w:rsidRPr="00A16735">
        <w:t>It is interesting</w:t>
      </w:r>
      <w:r w:rsidR="00421AE2" w:rsidRPr="00A16735">
        <w:t xml:space="preserve"> that</w:t>
      </w:r>
      <w:r w:rsidR="001B542E" w:rsidRPr="00A16735">
        <w:t xml:space="preserve"> there is a</w:t>
      </w:r>
      <w:r w:rsidR="008329BE">
        <w:t xml:space="preserve"> recent </w:t>
      </w:r>
      <w:r w:rsidR="001B542E" w:rsidRPr="00A16735">
        <w:t xml:space="preserve">econometric </w:t>
      </w:r>
      <w:r w:rsidR="00421AE2" w:rsidRPr="00A16735">
        <w:t xml:space="preserve">literature showing that financial crises are </w:t>
      </w:r>
      <w:r w:rsidR="00CA439F">
        <w:t xml:space="preserve">often </w:t>
      </w:r>
      <w:r w:rsidR="00421AE2" w:rsidRPr="00A16735">
        <w:t>preceded by booms</w:t>
      </w:r>
      <w:r w:rsidR="00496131" w:rsidRPr="00A16735">
        <w:t xml:space="preserve"> of capital flows</w:t>
      </w:r>
      <w:r w:rsidR="008329BE">
        <w:t xml:space="preserve"> </w:t>
      </w:r>
      <w:r w:rsidR="00421AE2" w:rsidRPr="00A16735">
        <w:t xml:space="preserve">(for example </w:t>
      </w:r>
      <w:proofErr w:type="spellStart"/>
      <w:r w:rsidR="00421AE2" w:rsidRPr="00A16735">
        <w:t>Agosin</w:t>
      </w:r>
      <w:proofErr w:type="spellEnd"/>
      <w:r w:rsidR="00421AE2" w:rsidRPr="00A16735">
        <w:t xml:space="preserve"> and </w:t>
      </w:r>
      <w:proofErr w:type="spellStart"/>
      <w:r w:rsidR="00421AE2" w:rsidRPr="00A16735">
        <w:t>Huaita</w:t>
      </w:r>
      <w:proofErr w:type="spellEnd"/>
      <w:r w:rsidR="00421AE2" w:rsidRPr="00A16735">
        <w:t xml:space="preserve">, 2012 and </w:t>
      </w:r>
      <w:proofErr w:type="spellStart"/>
      <w:r w:rsidR="00421AE2" w:rsidRPr="00A16735">
        <w:t>Borio</w:t>
      </w:r>
      <w:proofErr w:type="spellEnd"/>
      <w:r w:rsidR="00421AE2" w:rsidRPr="00A16735">
        <w:t>, 2012).</w:t>
      </w:r>
      <w:r w:rsidRPr="00A16735">
        <w:rPr>
          <w:rFonts w:cstheme="minorHAnsi"/>
        </w:rPr>
        <w:t xml:space="preserve"> In the case of Latin America, net capital flows during the pre- 1980’s debt crisis years (1977-1981) rea</w:t>
      </w:r>
      <w:r w:rsidR="00CA439F">
        <w:rPr>
          <w:rFonts w:cstheme="minorHAnsi"/>
        </w:rPr>
        <w:t>ched 4.5% of GDP annually (</w:t>
      </w:r>
      <w:r w:rsidRPr="00A16735">
        <w:rPr>
          <w:rFonts w:cstheme="minorHAnsi"/>
        </w:rPr>
        <w:t>Ffrenc</w:t>
      </w:r>
      <w:r w:rsidR="00496131" w:rsidRPr="00A16735">
        <w:rPr>
          <w:rFonts w:cstheme="minorHAnsi"/>
        </w:rPr>
        <w:t>h-D</w:t>
      </w:r>
      <w:r w:rsidR="003A64E4">
        <w:rPr>
          <w:rFonts w:cstheme="minorHAnsi"/>
        </w:rPr>
        <w:t>avis and Griffith-</w:t>
      </w:r>
      <w:r w:rsidR="00496131" w:rsidRPr="00A16735">
        <w:rPr>
          <w:rFonts w:cstheme="minorHAnsi"/>
        </w:rPr>
        <w:t>Jones, op cit</w:t>
      </w:r>
      <w:r w:rsidR="00F72880">
        <w:rPr>
          <w:rFonts w:cstheme="minorHAnsi"/>
        </w:rPr>
        <w:t>.</w:t>
      </w:r>
      <w:r w:rsidRPr="00A16735">
        <w:rPr>
          <w:rFonts w:cstheme="minorHAnsi"/>
        </w:rPr>
        <w:t xml:space="preserve">). </w:t>
      </w:r>
      <w:r w:rsidR="00421AE2" w:rsidRPr="00A16735">
        <w:t>It is important to stress</w:t>
      </w:r>
      <w:r w:rsidR="00BA426D">
        <w:t xml:space="preserve"> a somewhat </w:t>
      </w:r>
      <w:r w:rsidR="00CA439F">
        <w:lastRenderedPageBreak/>
        <w:t xml:space="preserve">neglected fact </w:t>
      </w:r>
      <w:r w:rsidR="00421AE2" w:rsidRPr="00A16735">
        <w:t xml:space="preserve">that </w:t>
      </w:r>
      <w:r w:rsidR="00230A69" w:rsidRPr="00A16735">
        <w:t>capital flows</w:t>
      </w:r>
      <w:r w:rsidR="00496131" w:rsidRPr="00A16735">
        <w:t xml:space="preserve"> </w:t>
      </w:r>
      <w:r w:rsidR="00230A69" w:rsidRPr="00A16735">
        <w:t>(in this c</w:t>
      </w:r>
      <w:r w:rsidR="00201400">
        <w:t>ase mainly intra-European ones)</w:t>
      </w:r>
      <w:r w:rsidR="00230A69" w:rsidRPr="00A16735">
        <w:t xml:space="preserve"> have played a major role in the origins of the </w:t>
      </w:r>
      <w:r w:rsidR="00496131" w:rsidRPr="00A16735">
        <w:t xml:space="preserve">recent </w:t>
      </w:r>
      <w:r w:rsidR="00230A69" w:rsidRPr="00A16735">
        <w:t>European sovereign debt crisis.</w:t>
      </w:r>
      <w:r w:rsidR="001B542E" w:rsidRPr="00A16735">
        <w:rPr>
          <w:rFonts w:cstheme="minorHAnsi"/>
        </w:rPr>
        <w:t xml:space="preserve"> </w:t>
      </w:r>
      <w:r w:rsidRPr="00A16735">
        <w:rPr>
          <w:rFonts w:cstheme="minorHAnsi"/>
        </w:rPr>
        <w:t>Indeed</w:t>
      </w:r>
      <w:r w:rsidR="00496131" w:rsidRPr="00A16735">
        <w:rPr>
          <w:rFonts w:cstheme="minorHAnsi"/>
        </w:rPr>
        <w:t>,</w:t>
      </w:r>
      <w:r w:rsidRPr="00A16735">
        <w:rPr>
          <w:rFonts w:cstheme="minorHAnsi"/>
        </w:rPr>
        <w:t xml:space="preserve"> it is not </w:t>
      </w:r>
      <w:r w:rsidR="001B542E" w:rsidRPr="00A16735">
        <w:rPr>
          <w:rFonts w:cstheme="minorHAnsi"/>
        </w:rPr>
        <w:t>often emphasized that in Europe capit</w:t>
      </w:r>
      <w:r w:rsidR="00496131" w:rsidRPr="00A16735">
        <w:rPr>
          <w:rFonts w:cstheme="minorHAnsi"/>
        </w:rPr>
        <w:t>al flows were numerically larger than in Latin America.</w:t>
      </w:r>
      <w:r w:rsidR="001B542E" w:rsidRPr="00A16735">
        <w:rPr>
          <w:rFonts w:cstheme="minorHAnsi"/>
        </w:rPr>
        <w:t xml:space="preserve"> Thus, in Greece, the cumulated capital flows grew from around 30% of GDP in early 2002 to around 80% of GDP in early 2008 </w:t>
      </w:r>
      <w:r w:rsidR="001B542E" w:rsidRPr="00E25950">
        <w:rPr>
          <w:rFonts w:cstheme="minorHAnsi"/>
        </w:rPr>
        <w:t>(almost 10% of capital flows as proportion of GDP annually).</w:t>
      </w:r>
      <w:r w:rsidR="001B542E" w:rsidRPr="00A16735">
        <w:rPr>
          <w:rFonts w:cstheme="minorHAnsi"/>
        </w:rPr>
        <w:t xml:space="preserve"> In Spain this stock grew from just over 20% of GDP in early 2002 to 60% mid 2008, around 7% of capital flows as proportion of GDP annually, with similar increase</w:t>
      </w:r>
      <w:r w:rsidR="00201400">
        <w:rPr>
          <w:rFonts w:cstheme="minorHAnsi"/>
        </w:rPr>
        <w:t>s</w:t>
      </w:r>
      <w:r w:rsidR="001B542E" w:rsidRPr="00A16735">
        <w:rPr>
          <w:rFonts w:cstheme="minorHAnsi"/>
        </w:rPr>
        <w:t xml:space="preserve"> reported for Portugal (Pisani-Ferry and Merler, 2012, based on Eurostat data).</w:t>
      </w:r>
    </w:p>
    <w:p w:rsidR="00323DDA" w:rsidRPr="00A16735" w:rsidRDefault="00323DDA" w:rsidP="00A16735">
      <w:pPr>
        <w:spacing w:line="360" w:lineRule="auto"/>
        <w:rPr>
          <w:rFonts w:cstheme="minorHAnsi"/>
        </w:rPr>
      </w:pPr>
      <w:r w:rsidRPr="00A16735">
        <w:rPr>
          <w:rFonts w:cstheme="minorHAnsi"/>
        </w:rPr>
        <w:t xml:space="preserve">From this comparison, it can be seen that capital flows were on average higher to the periphery European countries during the 2002-2008 years then they were to Latin America in the 1977-1981 </w:t>
      </w:r>
      <w:r w:rsidR="001A0BB1" w:rsidRPr="00A16735">
        <w:rPr>
          <w:rFonts w:cstheme="minorHAnsi"/>
        </w:rPr>
        <w:t>pre-</w:t>
      </w:r>
      <w:r w:rsidRPr="00A16735">
        <w:rPr>
          <w:rFonts w:cstheme="minorHAnsi"/>
        </w:rPr>
        <w:t>debt crises years.   These massive capital flows were accompanied in Europe, as they had been previously in Latin America, by very low spreads as lenders and investors massively under-estimated risk. As crises started in bot</w:t>
      </w:r>
      <w:r w:rsidR="002F6702" w:rsidRPr="00A16735">
        <w:rPr>
          <w:rFonts w:cstheme="minorHAnsi"/>
        </w:rPr>
        <w:t>h cases, spreads either shot up</w:t>
      </w:r>
      <w:r w:rsidRPr="00A16735">
        <w:rPr>
          <w:rFonts w:cstheme="minorHAnsi"/>
        </w:rPr>
        <w:t>, often to unsustainable levels, or credit rationing occu</w:t>
      </w:r>
      <w:r w:rsidR="00201400">
        <w:rPr>
          <w:rFonts w:cstheme="minorHAnsi"/>
        </w:rPr>
        <w:t>rred</w:t>
      </w:r>
      <w:r w:rsidRPr="00A16735">
        <w:rPr>
          <w:rFonts w:cstheme="minorHAnsi"/>
        </w:rPr>
        <w:t xml:space="preserve"> so that countries became unable to raise new funds or loans.  </w:t>
      </w:r>
    </w:p>
    <w:p w:rsidR="001A0BB1" w:rsidRPr="00A16735" w:rsidRDefault="00CB19BD" w:rsidP="00A16735">
      <w:pPr>
        <w:spacing w:line="360" w:lineRule="auto"/>
        <w:rPr>
          <w:rFonts w:cstheme="minorHAnsi"/>
        </w:rPr>
      </w:pPr>
      <w:r w:rsidRPr="00A16735">
        <w:rPr>
          <w:rFonts w:cstheme="minorHAnsi"/>
        </w:rPr>
        <w:t xml:space="preserve">In </w:t>
      </w:r>
      <w:r w:rsidR="00EE569A">
        <w:rPr>
          <w:rFonts w:cstheme="minorHAnsi"/>
        </w:rPr>
        <w:t>section 2 we will examine</w:t>
      </w:r>
      <w:r w:rsidR="002F6702" w:rsidRPr="00A16735">
        <w:rPr>
          <w:rFonts w:cstheme="minorHAnsi"/>
        </w:rPr>
        <w:t xml:space="preserve"> the </w:t>
      </w:r>
      <w:r w:rsidR="001A2B55" w:rsidRPr="00A16735">
        <w:rPr>
          <w:rFonts w:cstheme="minorHAnsi"/>
        </w:rPr>
        <w:t xml:space="preserve">policy </w:t>
      </w:r>
      <w:r w:rsidR="002F6702" w:rsidRPr="00A16735">
        <w:rPr>
          <w:rFonts w:cstheme="minorHAnsi"/>
        </w:rPr>
        <w:t xml:space="preserve">issues </w:t>
      </w:r>
      <w:r w:rsidR="001A2B55" w:rsidRPr="00A16735">
        <w:rPr>
          <w:rFonts w:cstheme="minorHAnsi"/>
        </w:rPr>
        <w:t xml:space="preserve">around </w:t>
      </w:r>
      <w:r w:rsidR="002F6702" w:rsidRPr="00A16735">
        <w:rPr>
          <w:rFonts w:cstheme="minorHAnsi"/>
        </w:rPr>
        <w:t>domestic financial</w:t>
      </w:r>
      <w:r w:rsidR="00EE569A">
        <w:rPr>
          <w:rFonts w:cstheme="minorHAnsi"/>
        </w:rPr>
        <w:t xml:space="preserve"> sectors (their size and structure)</w:t>
      </w:r>
      <w:r w:rsidR="001A2B55" w:rsidRPr="00A16735">
        <w:rPr>
          <w:rFonts w:cstheme="minorHAnsi"/>
        </w:rPr>
        <w:t xml:space="preserve"> as well as that of their </w:t>
      </w:r>
      <w:r w:rsidR="002F6702" w:rsidRPr="00A16735">
        <w:rPr>
          <w:rFonts w:cstheme="minorHAnsi"/>
        </w:rPr>
        <w:t>regulation</w:t>
      </w:r>
      <w:r w:rsidR="001A2B55" w:rsidRPr="00A16735">
        <w:rPr>
          <w:rFonts w:cstheme="minorHAnsi"/>
        </w:rPr>
        <w:t>. Section 3 will examine</w:t>
      </w:r>
      <w:r w:rsidR="00981FAE">
        <w:rPr>
          <w:rFonts w:cstheme="minorHAnsi"/>
        </w:rPr>
        <w:t xml:space="preserve"> the</w:t>
      </w:r>
      <w:r w:rsidR="001A2B55" w:rsidRPr="00A16735">
        <w:rPr>
          <w:rFonts w:cstheme="minorHAnsi"/>
        </w:rPr>
        <w:t xml:space="preserve"> policy issues of capital account management, building on the a</w:t>
      </w:r>
      <w:r w:rsidR="00981FAE">
        <w:rPr>
          <w:rFonts w:cstheme="minorHAnsi"/>
        </w:rPr>
        <w:t>nalysis of this i</w:t>
      </w:r>
      <w:r w:rsidR="00EE569A">
        <w:rPr>
          <w:rFonts w:cstheme="minorHAnsi"/>
        </w:rPr>
        <w:t>ntroduction</w:t>
      </w:r>
      <w:r w:rsidR="001A2B55" w:rsidRPr="00A16735">
        <w:rPr>
          <w:rFonts w:cstheme="minorHAnsi"/>
        </w:rPr>
        <w:t>. Our analysis will be framed by the t</w:t>
      </w:r>
      <w:r w:rsidR="00981FAE">
        <w:rPr>
          <w:rFonts w:cstheme="minorHAnsi"/>
        </w:rPr>
        <w:t>wo aims of the financial sector:</w:t>
      </w:r>
      <w:r w:rsidR="001A2B55" w:rsidRPr="00A16735">
        <w:rPr>
          <w:rFonts w:cstheme="minorHAnsi"/>
        </w:rPr>
        <w:t xml:space="preserve"> to fund in an efficient and sustainable way the needs of companies and households</w:t>
      </w:r>
      <w:r w:rsidR="00981FAE">
        <w:rPr>
          <w:rFonts w:cstheme="minorHAnsi"/>
        </w:rPr>
        <w:t xml:space="preserve"> </w:t>
      </w:r>
      <w:r w:rsidR="004C7833">
        <w:rPr>
          <w:rFonts w:cstheme="minorHAnsi"/>
        </w:rPr>
        <w:t xml:space="preserve">(thus supporting </w:t>
      </w:r>
      <w:r w:rsidR="001D2142" w:rsidRPr="00A16735">
        <w:rPr>
          <w:rFonts w:cstheme="minorHAnsi"/>
        </w:rPr>
        <w:t>inclusive growth) and</w:t>
      </w:r>
      <w:r w:rsidR="00981FAE">
        <w:rPr>
          <w:rFonts w:cstheme="minorHAnsi"/>
        </w:rPr>
        <w:t xml:space="preserve"> to avoid damaging crises</w:t>
      </w:r>
      <w:r w:rsidR="001A0BB1" w:rsidRPr="00A16735">
        <w:rPr>
          <w:rFonts w:cstheme="minorHAnsi"/>
        </w:rPr>
        <w:t xml:space="preserve"> by </w:t>
      </w:r>
      <w:r w:rsidR="001D2142" w:rsidRPr="00A16735">
        <w:rPr>
          <w:rFonts w:cstheme="minorHAnsi"/>
        </w:rPr>
        <w:t>supporting financial stability. This analysis will be done in a context where we have been brutally reminded that fin</w:t>
      </w:r>
      <w:r w:rsidR="004C7833">
        <w:rPr>
          <w:rFonts w:cstheme="minorHAnsi"/>
        </w:rPr>
        <w:t xml:space="preserve">ancial and banking markets </w:t>
      </w:r>
      <w:r w:rsidR="001A0BB1" w:rsidRPr="00A16735">
        <w:rPr>
          <w:rFonts w:cstheme="minorHAnsi"/>
        </w:rPr>
        <w:t xml:space="preserve">in </w:t>
      </w:r>
      <w:r w:rsidR="004C7833">
        <w:rPr>
          <w:rFonts w:cstheme="minorHAnsi"/>
        </w:rPr>
        <w:t xml:space="preserve">developing, emerging </w:t>
      </w:r>
      <w:r w:rsidR="001D2142" w:rsidRPr="00A16735">
        <w:rPr>
          <w:rFonts w:cstheme="minorHAnsi"/>
        </w:rPr>
        <w:t>and developed countries are ri</w:t>
      </w:r>
      <w:r w:rsidR="00021DB3">
        <w:rPr>
          <w:rFonts w:cstheme="minorHAnsi"/>
        </w:rPr>
        <w:t>ddled with imperfections</w:t>
      </w:r>
      <w:r w:rsidR="001D2142" w:rsidRPr="00A16735">
        <w:rPr>
          <w:rFonts w:cstheme="minorHAnsi"/>
        </w:rPr>
        <w:t xml:space="preserve"> and are prone to boom bust cycles. Though reference will be made to developed economies, we will focus here more on developing and emerging economies</w:t>
      </w:r>
      <w:r w:rsidR="00021DB3">
        <w:rPr>
          <w:rFonts w:cstheme="minorHAnsi"/>
        </w:rPr>
        <w:t>.</w:t>
      </w:r>
    </w:p>
    <w:p w:rsidR="001A2B55" w:rsidRPr="00A16735" w:rsidRDefault="001A2B55" w:rsidP="00A16735">
      <w:pPr>
        <w:spacing w:line="360" w:lineRule="auto"/>
        <w:rPr>
          <w:rFonts w:cstheme="minorHAnsi"/>
          <w:b/>
        </w:rPr>
      </w:pPr>
      <w:r w:rsidRPr="00A16735">
        <w:rPr>
          <w:rFonts w:cstheme="minorHAnsi"/>
          <w:b/>
        </w:rPr>
        <w:t xml:space="preserve">2. </w:t>
      </w:r>
      <w:r w:rsidR="001D2142" w:rsidRPr="00A16735">
        <w:rPr>
          <w:rFonts w:cstheme="minorHAnsi"/>
          <w:b/>
        </w:rPr>
        <w:t>The domestic financial sector</w:t>
      </w:r>
    </w:p>
    <w:p w:rsidR="00A04D17" w:rsidRDefault="004A063D" w:rsidP="00A04D17">
      <w:pPr>
        <w:spacing w:line="360" w:lineRule="auto"/>
        <w:rPr>
          <w:rFonts w:cs="Times New Roman"/>
        </w:rPr>
      </w:pPr>
      <w:r w:rsidRPr="00A16735">
        <w:rPr>
          <w:rFonts w:cstheme="minorHAnsi"/>
        </w:rPr>
        <w:t>As regards the domestic financial sector, we will base our a</w:t>
      </w:r>
      <w:r w:rsidR="004C7833">
        <w:rPr>
          <w:rFonts w:cstheme="minorHAnsi"/>
        </w:rPr>
        <w:t>nalysi</w:t>
      </w:r>
      <w:r w:rsidR="00021DB3">
        <w:rPr>
          <w:rFonts w:cstheme="minorHAnsi"/>
        </w:rPr>
        <w:t xml:space="preserve">s more </w:t>
      </w:r>
      <w:r w:rsidRPr="00A16735">
        <w:rPr>
          <w:rFonts w:cstheme="minorHAnsi"/>
        </w:rPr>
        <w:t>on issues from the perspective</w:t>
      </w:r>
      <w:r w:rsidR="00021DB3">
        <w:rPr>
          <w:rFonts w:cstheme="minorHAnsi"/>
        </w:rPr>
        <w:t xml:space="preserve"> of low income countries (LICs)</w:t>
      </w:r>
      <w:r w:rsidRPr="00A16735">
        <w:rPr>
          <w:rFonts w:cstheme="minorHAnsi"/>
        </w:rPr>
        <w:t xml:space="preserve"> but drawing on lessons from emerging and developed economies.</w:t>
      </w:r>
      <w:r w:rsidR="00A04D17">
        <w:rPr>
          <w:rFonts w:cstheme="minorHAnsi"/>
        </w:rPr>
        <w:t xml:space="preserve"> </w:t>
      </w:r>
      <w:r w:rsidRPr="00A16735">
        <w:rPr>
          <w:rFonts w:cs="Times New Roman"/>
        </w:rPr>
        <w:t>The financial sector and its regulation is a particularly challenging and important field for policy- makers in LICs, in the pursuit of both inclusive growth and financial stabil</w:t>
      </w:r>
      <w:r w:rsidR="00A04D17">
        <w:rPr>
          <w:rFonts w:cs="Times New Roman"/>
        </w:rPr>
        <w:t xml:space="preserve">ity, for two reasons. </w:t>
      </w:r>
    </w:p>
    <w:p w:rsidR="001A0BB1" w:rsidRPr="00A04D17" w:rsidRDefault="00A04D17" w:rsidP="00A04D17">
      <w:pPr>
        <w:spacing w:line="360" w:lineRule="auto"/>
        <w:rPr>
          <w:rFonts w:cstheme="minorHAnsi"/>
        </w:rPr>
      </w:pPr>
      <w:r>
        <w:rPr>
          <w:rFonts w:cs="Times New Roman"/>
        </w:rPr>
        <w:t xml:space="preserve">Firstly, LICS face the traditional </w:t>
      </w:r>
      <w:r w:rsidR="004A063D" w:rsidRPr="00A16735">
        <w:rPr>
          <w:rFonts w:cs="Times New Roman"/>
        </w:rPr>
        <w:t xml:space="preserve">challenge of expanding access to </w:t>
      </w:r>
      <w:r w:rsidR="006C3C01">
        <w:rPr>
          <w:rFonts w:cs="Times New Roman"/>
        </w:rPr>
        <w:t xml:space="preserve">the financial sector to </w:t>
      </w:r>
      <w:r w:rsidR="004A063D" w:rsidRPr="00A16735">
        <w:rPr>
          <w:rFonts w:cs="Times New Roman"/>
        </w:rPr>
        <w:t>la</w:t>
      </w:r>
      <w:r>
        <w:rPr>
          <w:rFonts w:cs="Times New Roman"/>
        </w:rPr>
        <w:t>rge parts of the population and</w:t>
      </w:r>
      <w:r w:rsidR="004A063D" w:rsidRPr="00A16735">
        <w:rPr>
          <w:rFonts w:cs="Times New Roman"/>
        </w:rPr>
        <w:t xml:space="preserve"> important segments of enterprises </w:t>
      </w:r>
      <w:r w:rsidR="006C3C01">
        <w:rPr>
          <w:rFonts w:cs="Times New Roman"/>
        </w:rPr>
        <w:t>that have been</w:t>
      </w:r>
      <w:r w:rsidR="004A063D" w:rsidRPr="00A16735">
        <w:rPr>
          <w:rFonts w:cs="Times New Roman"/>
        </w:rPr>
        <w:t xml:space="preserve"> excluded from</w:t>
      </w:r>
      <w:r w:rsidR="006C3C01">
        <w:rPr>
          <w:rFonts w:cs="Times New Roman"/>
        </w:rPr>
        <w:t xml:space="preserve"> it.</w:t>
      </w:r>
      <w:r>
        <w:rPr>
          <w:rFonts w:cs="Times New Roman"/>
        </w:rPr>
        <w:t xml:space="preserve"> </w:t>
      </w:r>
      <w:r w:rsidR="006C3C01">
        <w:rPr>
          <w:rFonts w:cs="Times New Roman"/>
        </w:rPr>
        <w:t>F</w:t>
      </w:r>
      <w:r w:rsidR="004A063D" w:rsidRPr="00A16735">
        <w:rPr>
          <w:rFonts w:cs="Times New Roman"/>
        </w:rPr>
        <w:t>urthermore, where access is available,</w:t>
      </w:r>
      <w:r>
        <w:rPr>
          <w:rFonts w:cs="Times New Roman"/>
        </w:rPr>
        <w:t xml:space="preserve"> it is often too short-</w:t>
      </w:r>
      <w:r w:rsidR="006C3C01">
        <w:rPr>
          <w:rFonts w:cs="Times New Roman"/>
        </w:rPr>
        <w:t>term and</w:t>
      </w:r>
      <w:r w:rsidR="004A063D" w:rsidRPr="00A16735">
        <w:rPr>
          <w:rFonts w:cs="Times New Roman"/>
        </w:rPr>
        <w:t xml:space="preserve"> very costly. These features are an important obstacle for growth. Overall, financial sectors in low income African countries are still </w:t>
      </w:r>
      <w:r w:rsidR="004A063D" w:rsidRPr="00A16735">
        <w:rPr>
          <w:rFonts w:cs="Times New Roman"/>
        </w:rPr>
        <w:lastRenderedPageBreak/>
        <w:t>relatively shallow.  Based on World Bank data, the average credit to GDP ratio in 2010 for Sub Saharan African LICs was below 20%, tho</w:t>
      </w:r>
      <w:r>
        <w:rPr>
          <w:rFonts w:cs="Times New Roman"/>
        </w:rPr>
        <w:t>ugh higher in some countries</w:t>
      </w:r>
      <w:r w:rsidR="00F85F9A" w:rsidRPr="00A16735">
        <w:rPr>
          <w:rFonts w:cs="Times New Roman"/>
        </w:rPr>
        <w:t xml:space="preserve"> (</w:t>
      </w:r>
      <w:r>
        <w:rPr>
          <w:rFonts w:cs="Times New Roman"/>
        </w:rPr>
        <w:t xml:space="preserve">see Griffith-Jones with </w:t>
      </w:r>
      <w:r w:rsidR="004A063D" w:rsidRPr="00A16735">
        <w:rPr>
          <w:rFonts w:cs="Times New Roman"/>
        </w:rPr>
        <w:t xml:space="preserve">Karwowski, 2013). </w:t>
      </w:r>
      <w:r w:rsidR="001A0BB1" w:rsidRPr="00A16735">
        <w:rPr>
          <w:rFonts w:cs="Times New Roman"/>
        </w:rPr>
        <w:t>It is interesting tha</w:t>
      </w:r>
      <w:r w:rsidR="003209C0">
        <w:rPr>
          <w:rFonts w:cs="Times New Roman"/>
        </w:rPr>
        <w:t>t Sub-Saharan (SSA) LICs have a</w:t>
      </w:r>
      <w:r w:rsidR="001A0BB1" w:rsidRPr="00A16735">
        <w:rPr>
          <w:rFonts w:cs="Times New Roman"/>
        </w:rPr>
        <w:t xml:space="preserve"> lower credit to GDP ratio than non-SSA ones</w:t>
      </w:r>
      <w:r>
        <w:rPr>
          <w:rFonts w:cs="Times New Roman"/>
        </w:rPr>
        <w:t xml:space="preserve"> </w:t>
      </w:r>
      <w:r w:rsidR="001A0BB1" w:rsidRPr="00A16735">
        <w:rPr>
          <w:rFonts w:cs="Times New Roman"/>
        </w:rPr>
        <w:t>(see</w:t>
      </w:r>
      <w:r>
        <w:rPr>
          <w:rFonts w:cs="Times New Roman"/>
        </w:rPr>
        <w:t>, for example</w:t>
      </w:r>
      <w:r w:rsidR="001A0BB1" w:rsidRPr="00A16735">
        <w:rPr>
          <w:rFonts w:cs="Times New Roman"/>
        </w:rPr>
        <w:t xml:space="preserve"> Beck, 2013). </w:t>
      </w:r>
      <w:r w:rsidR="004A063D" w:rsidRPr="00A16735">
        <w:rPr>
          <w:rFonts w:cs="Times New Roman"/>
        </w:rPr>
        <w:t>Furthermore, according to World Bank surveys, only 17% of small en</w:t>
      </w:r>
      <w:r w:rsidR="001A0BB1" w:rsidRPr="00A16735">
        <w:rPr>
          <w:rFonts w:cs="Times New Roman"/>
        </w:rPr>
        <w:t>terprises in SSA</w:t>
      </w:r>
      <w:r w:rsidR="004A063D" w:rsidRPr="00A16735">
        <w:rPr>
          <w:rFonts w:cs="Times New Roman"/>
        </w:rPr>
        <w:t xml:space="preserve"> have access to credit, the lowest among all developing country regions, with for example 41% of small enterprises in Latin America and the Caribbean reporting access to credit. </w:t>
      </w:r>
      <w:r w:rsidR="004A063D" w:rsidRPr="00E25950">
        <w:rPr>
          <w:rFonts w:cs="Times New Roman"/>
        </w:rPr>
        <w:t xml:space="preserve">Indeed, 48% of small enterprises in Sub-Saharan Africa report that </w:t>
      </w:r>
      <w:r w:rsidR="00E25950" w:rsidRPr="00E25950">
        <w:rPr>
          <w:rFonts w:cs="Times New Roman"/>
        </w:rPr>
        <w:t xml:space="preserve">lack of </w:t>
      </w:r>
      <w:r w:rsidR="004A063D" w:rsidRPr="00E25950">
        <w:rPr>
          <w:rFonts w:cs="Times New Roman"/>
        </w:rPr>
        <w:t>access to credit is a major constraint for their investment, with 41% of even medium enterprises in SSA saying that lack of credit hinders their investment.</w:t>
      </w:r>
      <w:r w:rsidR="006E7748" w:rsidRPr="00A16735">
        <w:rPr>
          <w:rFonts w:cs="Times New Roman"/>
        </w:rPr>
        <w:t xml:space="preserve"> </w:t>
      </w:r>
    </w:p>
    <w:p w:rsidR="004A063D" w:rsidRPr="00A16735" w:rsidRDefault="006E7748" w:rsidP="00A16735">
      <w:pPr>
        <w:spacing w:line="360" w:lineRule="auto"/>
        <w:jc w:val="both"/>
        <w:rPr>
          <w:rFonts w:cs="Times New Roman"/>
        </w:rPr>
      </w:pPr>
      <w:r w:rsidRPr="00A16735">
        <w:rPr>
          <w:rFonts w:cs="Times New Roman"/>
        </w:rPr>
        <w:t xml:space="preserve">Another important issue is the cost of credit, especially for SMEs. In countries like Ghana, reportedly </w:t>
      </w:r>
      <w:r w:rsidR="00A04D17">
        <w:rPr>
          <w:rFonts w:cs="Times New Roman"/>
        </w:rPr>
        <w:t xml:space="preserve">the </w:t>
      </w:r>
      <w:r w:rsidRPr="00A16735">
        <w:rPr>
          <w:rFonts w:cs="Times New Roman"/>
        </w:rPr>
        <w:t>cost of SME lending, and especially the spreads banks charge, has hardly come down i</w:t>
      </w:r>
      <w:r w:rsidR="00A04D17">
        <w:rPr>
          <w:rFonts w:cs="Times New Roman"/>
        </w:rPr>
        <w:t>n the last</w:t>
      </w:r>
      <w:r w:rsidRPr="00A16735">
        <w:rPr>
          <w:rFonts w:cs="Times New Roman"/>
        </w:rPr>
        <w:t xml:space="preserve"> two decades, even though the number of ba</w:t>
      </w:r>
      <w:r w:rsidR="00A04D17">
        <w:rPr>
          <w:rFonts w:cs="Times New Roman"/>
        </w:rPr>
        <w:t>nks has increased significantly</w:t>
      </w:r>
      <w:r w:rsidRPr="00A16735">
        <w:rPr>
          <w:rFonts w:cs="Times New Roman"/>
        </w:rPr>
        <w:t xml:space="preserve"> which should have increased competition and lowered spreads. This p</w:t>
      </w:r>
      <w:r w:rsidR="00F85F9A" w:rsidRPr="00A16735">
        <w:rPr>
          <w:rFonts w:cs="Times New Roman"/>
        </w:rPr>
        <w:t>uzzle requires further research</w:t>
      </w:r>
      <w:r w:rsidRPr="00A16735">
        <w:rPr>
          <w:rFonts w:cs="Times New Roman"/>
        </w:rPr>
        <w:t xml:space="preserve">, including </w:t>
      </w:r>
      <w:r w:rsidR="005349E4" w:rsidRPr="00A16735">
        <w:rPr>
          <w:rFonts w:cs="Times New Roman"/>
        </w:rPr>
        <w:t xml:space="preserve">on policy measures to be taken </w:t>
      </w:r>
      <w:r w:rsidR="00F85F9A" w:rsidRPr="00A16735">
        <w:rPr>
          <w:rFonts w:cs="Times New Roman"/>
        </w:rPr>
        <w:t xml:space="preserve">which </w:t>
      </w:r>
      <w:r w:rsidRPr="00A16735">
        <w:rPr>
          <w:rFonts w:cs="Times New Roman"/>
        </w:rPr>
        <w:t>could be effective to change that.</w:t>
      </w:r>
    </w:p>
    <w:p w:rsidR="00275C8A" w:rsidRPr="009740E5" w:rsidRDefault="004A063D" w:rsidP="00A16735">
      <w:pPr>
        <w:pStyle w:val="FootnoteText"/>
        <w:spacing w:after="200" w:line="360" w:lineRule="auto"/>
        <w:jc w:val="both"/>
        <w:rPr>
          <w:rFonts w:asciiTheme="minorHAnsi" w:hAnsiTheme="minorHAnsi"/>
          <w:b/>
        </w:rPr>
      </w:pPr>
      <w:r w:rsidRPr="00A16735">
        <w:rPr>
          <w:rFonts w:asciiTheme="minorHAnsi" w:hAnsiTheme="minorHAnsi"/>
        </w:rPr>
        <w:t xml:space="preserve">Secondly, internationally there is a rethinking </w:t>
      </w:r>
      <w:r w:rsidR="004C7833">
        <w:rPr>
          <w:rFonts w:asciiTheme="minorHAnsi" w:hAnsiTheme="minorHAnsi"/>
        </w:rPr>
        <w:t xml:space="preserve">of the </w:t>
      </w:r>
      <w:r w:rsidRPr="00A16735">
        <w:rPr>
          <w:rFonts w:asciiTheme="minorHAnsi" w:hAnsiTheme="minorHAnsi"/>
        </w:rPr>
        <w:t>scale and structure of a desirable financi</w:t>
      </w:r>
      <w:r w:rsidR="00275C8A" w:rsidRPr="00A16735">
        <w:rPr>
          <w:rFonts w:asciiTheme="minorHAnsi" w:hAnsiTheme="minorHAnsi"/>
        </w:rPr>
        <w:t xml:space="preserve">al </w:t>
      </w:r>
      <w:r w:rsidR="007B6DA7">
        <w:rPr>
          <w:rFonts w:asciiTheme="minorHAnsi" w:hAnsiTheme="minorHAnsi"/>
        </w:rPr>
        <w:t>sector</w:t>
      </w:r>
      <w:r w:rsidR="00A04D17">
        <w:rPr>
          <w:rFonts w:asciiTheme="minorHAnsi" w:hAnsiTheme="minorHAnsi"/>
        </w:rPr>
        <w:t xml:space="preserve"> </w:t>
      </w:r>
      <w:r w:rsidR="006304D3" w:rsidRPr="00A16735">
        <w:rPr>
          <w:rFonts w:asciiTheme="minorHAnsi" w:hAnsiTheme="minorHAnsi"/>
        </w:rPr>
        <w:t xml:space="preserve">and </w:t>
      </w:r>
      <w:r w:rsidR="00161335" w:rsidRPr="00A16735">
        <w:rPr>
          <w:rFonts w:asciiTheme="minorHAnsi" w:hAnsiTheme="minorHAnsi"/>
        </w:rPr>
        <w:t xml:space="preserve">a major reform of </w:t>
      </w:r>
      <w:r w:rsidR="007B6DA7">
        <w:rPr>
          <w:rFonts w:asciiTheme="minorHAnsi" w:hAnsiTheme="minorHAnsi"/>
        </w:rPr>
        <w:t>its regulation</w:t>
      </w:r>
      <w:r w:rsidRPr="00A16735">
        <w:rPr>
          <w:rFonts w:asciiTheme="minorHAnsi" w:hAnsiTheme="minorHAnsi"/>
        </w:rPr>
        <w:t xml:space="preserve"> in ligh</w:t>
      </w:r>
      <w:r w:rsidR="007B6DA7">
        <w:rPr>
          <w:rFonts w:asciiTheme="minorHAnsi" w:hAnsiTheme="minorHAnsi"/>
        </w:rPr>
        <w:t>t of the major financial crisis</w:t>
      </w:r>
      <w:r w:rsidRPr="00A16735">
        <w:rPr>
          <w:rFonts w:asciiTheme="minorHAnsi" w:hAnsiTheme="minorHAnsi"/>
        </w:rPr>
        <w:t xml:space="preserve"> that started in 2007/8</w:t>
      </w:r>
      <w:r w:rsidR="007B6DA7">
        <w:rPr>
          <w:rFonts w:asciiTheme="minorHAnsi" w:hAnsiTheme="minorHAnsi"/>
        </w:rPr>
        <w:t xml:space="preserve">. </w:t>
      </w:r>
      <w:r w:rsidR="00253056">
        <w:rPr>
          <w:rFonts w:asciiTheme="minorHAnsi" w:hAnsiTheme="minorHAnsi"/>
        </w:rPr>
        <w:t>A</w:t>
      </w:r>
      <w:r w:rsidR="007B6DA7">
        <w:rPr>
          <w:rFonts w:asciiTheme="minorHAnsi" w:hAnsiTheme="minorHAnsi"/>
        </w:rPr>
        <w:t>n</w:t>
      </w:r>
      <w:r w:rsidRPr="00A16735">
        <w:rPr>
          <w:rFonts w:asciiTheme="minorHAnsi" w:hAnsiTheme="minorHAnsi"/>
        </w:rPr>
        <w:t xml:space="preserve"> </w:t>
      </w:r>
      <w:r w:rsidR="001A5F6A" w:rsidRPr="00A16735">
        <w:rPr>
          <w:rFonts w:asciiTheme="minorHAnsi" w:hAnsiTheme="minorHAnsi"/>
        </w:rPr>
        <w:t xml:space="preserve">increasingly accepted </w:t>
      </w:r>
      <w:r w:rsidR="001A0BB1" w:rsidRPr="00A16735">
        <w:rPr>
          <w:rFonts w:asciiTheme="minorHAnsi" w:hAnsiTheme="minorHAnsi"/>
        </w:rPr>
        <w:t xml:space="preserve">perception </w:t>
      </w:r>
      <w:r w:rsidR="00253056">
        <w:rPr>
          <w:rFonts w:asciiTheme="minorHAnsi" w:hAnsiTheme="minorHAnsi"/>
        </w:rPr>
        <w:t xml:space="preserve">has arisen </w:t>
      </w:r>
      <w:r w:rsidR="001A0BB1" w:rsidRPr="00A16735">
        <w:rPr>
          <w:rFonts w:asciiTheme="minorHAnsi" w:hAnsiTheme="minorHAnsi"/>
        </w:rPr>
        <w:t xml:space="preserve">that </w:t>
      </w:r>
      <w:r w:rsidRPr="00A16735">
        <w:rPr>
          <w:rFonts w:asciiTheme="minorHAnsi" w:hAnsiTheme="minorHAnsi"/>
        </w:rPr>
        <w:t>banking and financial markets</w:t>
      </w:r>
      <w:r w:rsidR="008329BE">
        <w:rPr>
          <w:rFonts w:asciiTheme="minorHAnsi" w:hAnsiTheme="minorHAnsi"/>
        </w:rPr>
        <w:t xml:space="preserve"> have deep seated imperfections</w:t>
      </w:r>
      <w:r w:rsidRPr="00A16735">
        <w:rPr>
          <w:rFonts w:asciiTheme="minorHAnsi" w:hAnsiTheme="minorHAnsi"/>
        </w:rPr>
        <w:t>.</w:t>
      </w:r>
      <w:r w:rsidR="001A5F6A" w:rsidRPr="00A16735">
        <w:rPr>
          <w:rFonts w:asciiTheme="minorHAnsi" w:hAnsiTheme="minorHAnsi"/>
        </w:rPr>
        <w:t xml:space="preserve"> </w:t>
      </w:r>
      <w:r w:rsidR="00161335" w:rsidRPr="00A16735">
        <w:rPr>
          <w:rFonts w:asciiTheme="minorHAnsi" w:hAnsiTheme="minorHAnsi"/>
        </w:rPr>
        <w:t>There is a large litera</w:t>
      </w:r>
      <w:r w:rsidR="007B6DA7">
        <w:rPr>
          <w:rFonts w:asciiTheme="minorHAnsi" w:hAnsiTheme="minorHAnsi"/>
        </w:rPr>
        <w:t>ture on the reform of financial</w:t>
      </w:r>
      <w:r w:rsidR="001A5F6A" w:rsidRPr="00A16735">
        <w:rPr>
          <w:rFonts w:asciiTheme="minorHAnsi" w:hAnsiTheme="minorHAnsi"/>
        </w:rPr>
        <w:t xml:space="preserve"> regulation, especially in de</w:t>
      </w:r>
      <w:r w:rsidR="00A04D17">
        <w:rPr>
          <w:rFonts w:asciiTheme="minorHAnsi" w:hAnsiTheme="minorHAnsi"/>
        </w:rPr>
        <w:t xml:space="preserve">veloped and emerging economies </w:t>
      </w:r>
      <w:r w:rsidR="00BD2477">
        <w:rPr>
          <w:rFonts w:asciiTheme="minorHAnsi" w:hAnsiTheme="minorHAnsi"/>
        </w:rPr>
        <w:t>(</w:t>
      </w:r>
      <w:r w:rsidR="001A5F6A" w:rsidRPr="00A16735">
        <w:rPr>
          <w:rFonts w:asciiTheme="minorHAnsi" w:hAnsiTheme="minorHAnsi"/>
        </w:rPr>
        <w:t>see for example, Griffith- Jones, Ocampo and Stiglitz, 2010, a</w:t>
      </w:r>
      <w:r w:rsidR="00253056">
        <w:rPr>
          <w:rFonts w:asciiTheme="minorHAnsi" w:hAnsiTheme="minorHAnsi"/>
        </w:rPr>
        <w:t xml:space="preserve">s well as IMF, </w:t>
      </w:r>
      <w:r w:rsidR="00161335" w:rsidRPr="00A16735">
        <w:rPr>
          <w:rFonts w:asciiTheme="minorHAnsi" w:hAnsiTheme="minorHAnsi"/>
        </w:rPr>
        <w:t>2012</w:t>
      </w:r>
      <w:r w:rsidR="00BD2477">
        <w:rPr>
          <w:rFonts w:asciiTheme="minorHAnsi" w:hAnsiTheme="minorHAnsi"/>
        </w:rPr>
        <w:t>)</w:t>
      </w:r>
      <w:r w:rsidR="00161335" w:rsidRPr="00A16735">
        <w:rPr>
          <w:rFonts w:asciiTheme="minorHAnsi" w:hAnsiTheme="minorHAnsi"/>
        </w:rPr>
        <w:t xml:space="preserve"> with </w:t>
      </w:r>
      <w:r w:rsidR="001A5F6A" w:rsidRPr="00A16735">
        <w:rPr>
          <w:rFonts w:asciiTheme="minorHAnsi" w:hAnsiTheme="minorHAnsi"/>
        </w:rPr>
        <w:t>Haldane and Madou</w:t>
      </w:r>
      <w:r w:rsidR="00253056">
        <w:rPr>
          <w:rFonts w:asciiTheme="minorHAnsi" w:hAnsiTheme="minorHAnsi"/>
        </w:rPr>
        <w:t>ros (</w:t>
      </w:r>
      <w:r w:rsidR="004C7833">
        <w:rPr>
          <w:rFonts w:asciiTheme="minorHAnsi" w:hAnsiTheme="minorHAnsi"/>
        </w:rPr>
        <w:t>2012</w:t>
      </w:r>
      <w:r w:rsidR="00253056">
        <w:rPr>
          <w:rFonts w:asciiTheme="minorHAnsi" w:hAnsiTheme="minorHAnsi"/>
        </w:rPr>
        <w:t>)</w:t>
      </w:r>
      <w:r w:rsidR="004C7833">
        <w:rPr>
          <w:rFonts w:asciiTheme="minorHAnsi" w:hAnsiTheme="minorHAnsi"/>
        </w:rPr>
        <w:t xml:space="preserve"> emphasiz</w:t>
      </w:r>
      <w:r w:rsidR="00161335" w:rsidRPr="00A16735">
        <w:rPr>
          <w:rFonts w:asciiTheme="minorHAnsi" w:hAnsiTheme="minorHAnsi"/>
        </w:rPr>
        <w:t xml:space="preserve">ing </w:t>
      </w:r>
      <w:r w:rsidR="001A5F6A" w:rsidRPr="00A16735">
        <w:rPr>
          <w:rFonts w:asciiTheme="minorHAnsi" w:hAnsiTheme="minorHAnsi"/>
        </w:rPr>
        <w:t>the need to simplify re</w:t>
      </w:r>
      <w:r w:rsidR="00253056">
        <w:rPr>
          <w:rFonts w:asciiTheme="minorHAnsi" w:hAnsiTheme="minorHAnsi"/>
        </w:rPr>
        <w:t>gulation in developed countries, the latter resonating</w:t>
      </w:r>
      <w:r w:rsidR="001A5F6A" w:rsidRPr="00A16735">
        <w:rPr>
          <w:rFonts w:asciiTheme="minorHAnsi" w:hAnsiTheme="minorHAnsi"/>
        </w:rPr>
        <w:t xml:space="preserve"> very well with LICs. </w:t>
      </w:r>
      <w:r w:rsidR="00275C8A" w:rsidRPr="00A16735">
        <w:rPr>
          <w:rFonts w:asciiTheme="minorHAnsi" w:hAnsiTheme="minorHAnsi"/>
        </w:rPr>
        <w:t>Three well-known commissions also analyzed the source</w:t>
      </w:r>
      <w:r w:rsidR="00AC0890" w:rsidRPr="00A16735">
        <w:rPr>
          <w:rFonts w:asciiTheme="minorHAnsi" w:hAnsiTheme="minorHAnsi"/>
        </w:rPr>
        <w:t>s</w:t>
      </w:r>
      <w:r w:rsidR="00275C8A" w:rsidRPr="00A16735">
        <w:rPr>
          <w:rFonts w:asciiTheme="minorHAnsi" w:hAnsiTheme="minorHAnsi"/>
        </w:rPr>
        <w:t xml:space="preserve"> of the crisis and the need for new pol</w:t>
      </w:r>
      <w:r w:rsidR="004C7833">
        <w:rPr>
          <w:rFonts w:asciiTheme="minorHAnsi" w:hAnsiTheme="minorHAnsi"/>
        </w:rPr>
        <w:t>icy responses. See</w:t>
      </w:r>
      <w:r w:rsidR="00275C8A" w:rsidRPr="00A16735">
        <w:rPr>
          <w:rFonts w:asciiTheme="minorHAnsi" w:hAnsiTheme="minorHAnsi"/>
        </w:rPr>
        <w:t xml:space="preserve"> the reports of the Larosière Commission (2009), the Stiglitz Commission (United Nations, 2009) and the Warwick Commission (2009). Nati</w:t>
      </w:r>
      <w:r w:rsidR="00253056">
        <w:rPr>
          <w:rFonts w:asciiTheme="minorHAnsi" w:hAnsiTheme="minorHAnsi"/>
        </w:rPr>
        <w:t>onal reviews, such as</w:t>
      </w:r>
      <w:r w:rsidR="00275C8A" w:rsidRPr="00A16735">
        <w:rPr>
          <w:rFonts w:asciiTheme="minorHAnsi" w:hAnsiTheme="minorHAnsi"/>
        </w:rPr>
        <w:t xml:space="preserve"> the UK Turner Review, also provided </w:t>
      </w:r>
      <w:r w:rsidR="008E1541" w:rsidRPr="00A16735">
        <w:rPr>
          <w:rFonts w:asciiTheme="minorHAnsi" w:hAnsiTheme="minorHAnsi"/>
        </w:rPr>
        <w:t xml:space="preserve">very </w:t>
      </w:r>
      <w:r w:rsidR="00275C8A" w:rsidRPr="00A16735">
        <w:rPr>
          <w:rFonts w:asciiTheme="minorHAnsi" w:hAnsiTheme="minorHAnsi"/>
        </w:rPr>
        <w:t>insightful analysis</w:t>
      </w:r>
      <w:r w:rsidR="001A0BB1" w:rsidRPr="00A16735">
        <w:rPr>
          <w:rFonts w:asciiTheme="minorHAnsi" w:hAnsiTheme="minorHAnsi"/>
        </w:rPr>
        <w:t xml:space="preserve">. </w:t>
      </w:r>
      <w:r w:rsidR="001A0BB1" w:rsidRPr="00A83962">
        <w:rPr>
          <w:rFonts w:asciiTheme="minorHAnsi" w:hAnsiTheme="minorHAnsi"/>
        </w:rPr>
        <w:t xml:space="preserve">A great deal of work has been </w:t>
      </w:r>
      <w:r w:rsidR="00A83962" w:rsidRPr="00A83962">
        <w:rPr>
          <w:rFonts w:asciiTheme="minorHAnsi" w:hAnsiTheme="minorHAnsi"/>
        </w:rPr>
        <w:t>done</w:t>
      </w:r>
      <w:r w:rsidR="001A0BB1" w:rsidRPr="00A83962">
        <w:rPr>
          <w:rFonts w:asciiTheme="minorHAnsi" w:hAnsiTheme="minorHAnsi"/>
        </w:rPr>
        <w:t xml:space="preserve"> by international regulatory bodies, such as the Basle Banking Committee and the Financial Stability Board, which have become</w:t>
      </w:r>
      <w:r w:rsidR="00A83962" w:rsidRPr="00A83962">
        <w:rPr>
          <w:rFonts w:asciiTheme="minorHAnsi" w:hAnsiTheme="minorHAnsi"/>
        </w:rPr>
        <w:t xml:space="preserve"> G-20 bodies</w:t>
      </w:r>
      <w:r w:rsidR="001A0BB1" w:rsidRPr="00A83962">
        <w:rPr>
          <w:rFonts w:asciiTheme="minorHAnsi" w:hAnsiTheme="minorHAnsi"/>
        </w:rPr>
        <w:t xml:space="preserve"> since the glob</w:t>
      </w:r>
      <w:r w:rsidR="00F97203" w:rsidRPr="00A83962">
        <w:rPr>
          <w:rFonts w:asciiTheme="minorHAnsi" w:hAnsiTheme="minorHAnsi"/>
        </w:rPr>
        <w:t>al financial crisis</w:t>
      </w:r>
      <w:r w:rsidR="00A83962" w:rsidRPr="00A83962">
        <w:rPr>
          <w:rFonts w:asciiTheme="minorHAnsi" w:hAnsiTheme="minorHAnsi"/>
        </w:rPr>
        <w:t>. This</w:t>
      </w:r>
      <w:r w:rsidR="00F97203" w:rsidRPr="00A83962">
        <w:rPr>
          <w:rFonts w:asciiTheme="minorHAnsi" w:hAnsiTheme="minorHAnsi"/>
        </w:rPr>
        <w:t xml:space="preserve"> expansion </w:t>
      </w:r>
      <w:r w:rsidR="004C7833" w:rsidRPr="00A83962">
        <w:rPr>
          <w:rFonts w:asciiTheme="minorHAnsi" w:hAnsiTheme="minorHAnsi"/>
        </w:rPr>
        <w:t>was</w:t>
      </w:r>
      <w:r w:rsidR="001A0BB1" w:rsidRPr="00A83962">
        <w:rPr>
          <w:rFonts w:asciiTheme="minorHAnsi" w:hAnsiTheme="minorHAnsi"/>
        </w:rPr>
        <w:t xml:space="preserve"> </w:t>
      </w:r>
      <w:r w:rsidR="00F97203" w:rsidRPr="00A83962">
        <w:rPr>
          <w:rFonts w:asciiTheme="minorHAnsi" w:hAnsiTheme="minorHAnsi"/>
        </w:rPr>
        <w:t xml:space="preserve">very </w:t>
      </w:r>
      <w:r w:rsidR="001A0BB1" w:rsidRPr="00A83962">
        <w:rPr>
          <w:rFonts w:asciiTheme="minorHAnsi" w:hAnsiTheme="minorHAnsi"/>
        </w:rPr>
        <w:t>welcome</w:t>
      </w:r>
      <w:r w:rsidR="00F97203" w:rsidRPr="00A83962">
        <w:rPr>
          <w:rFonts w:asciiTheme="minorHAnsi" w:hAnsiTheme="minorHAnsi"/>
        </w:rPr>
        <w:t>, but where there is no representation</w:t>
      </w:r>
      <w:r w:rsidR="00A83962" w:rsidRPr="00A83962">
        <w:rPr>
          <w:rFonts w:asciiTheme="minorHAnsi" w:hAnsiTheme="minorHAnsi"/>
        </w:rPr>
        <w:t xml:space="preserve"> in them</w:t>
      </w:r>
      <w:r w:rsidR="00F97203" w:rsidRPr="00A83962">
        <w:rPr>
          <w:rFonts w:asciiTheme="minorHAnsi" w:hAnsiTheme="minorHAnsi"/>
        </w:rPr>
        <w:t xml:space="preserve"> of smaller and especially poorer economies.</w:t>
      </w:r>
    </w:p>
    <w:p w:rsidR="006304D3" w:rsidRPr="00A16735" w:rsidRDefault="004A063D" w:rsidP="00A16735">
      <w:pPr>
        <w:spacing w:line="360" w:lineRule="auto"/>
        <w:jc w:val="both"/>
        <w:rPr>
          <w:rFonts w:cs="Times New Roman"/>
        </w:rPr>
      </w:pPr>
      <w:r w:rsidRPr="00A16735">
        <w:rPr>
          <w:rFonts w:cs="Times New Roman"/>
        </w:rPr>
        <w:t>There is a need to unde</w:t>
      </w:r>
      <w:r w:rsidR="006304D3" w:rsidRPr="00A16735">
        <w:rPr>
          <w:rFonts w:cs="Times New Roman"/>
        </w:rPr>
        <w:t xml:space="preserve">rstand the implications </w:t>
      </w:r>
      <w:r w:rsidR="00F97203" w:rsidRPr="00A16735">
        <w:rPr>
          <w:rFonts w:cs="Times New Roman"/>
        </w:rPr>
        <w:t>of the</w:t>
      </w:r>
      <w:r w:rsidRPr="00A16735">
        <w:rPr>
          <w:rFonts w:cs="Times New Roman"/>
        </w:rPr>
        <w:t xml:space="preserve"> analytical rethinking</w:t>
      </w:r>
      <w:r w:rsidR="00F97203" w:rsidRPr="00A16735">
        <w:rPr>
          <w:rFonts w:cs="Times New Roman"/>
        </w:rPr>
        <w:t xml:space="preserve">, and major regulatory changes being agreed, </w:t>
      </w:r>
      <w:r w:rsidRPr="00A16735">
        <w:rPr>
          <w:rFonts w:cs="Times New Roman"/>
        </w:rPr>
        <w:t>for low inco</w:t>
      </w:r>
      <w:r w:rsidR="001A5F6A" w:rsidRPr="00A16735">
        <w:rPr>
          <w:rFonts w:cs="Times New Roman"/>
        </w:rPr>
        <w:t>me countries’ financial sectors</w:t>
      </w:r>
      <w:r w:rsidR="00F97203" w:rsidRPr="00A16735">
        <w:rPr>
          <w:rFonts w:cs="Times New Roman"/>
        </w:rPr>
        <w:t xml:space="preserve"> and their regulation</w:t>
      </w:r>
      <w:r w:rsidRPr="00A16735">
        <w:rPr>
          <w:rFonts w:cs="Times New Roman"/>
        </w:rPr>
        <w:t>. A</w:t>
      </w:r>
      <w:r w:rsidR="009740E5">
        <w:rPr>
          <w:rFonts w:cs="Times New Roman"/>
        </w:rPr>
        <w:t>s</w:t>
      </w:r>
      <w:r w:rsidR="008D5BFD" w:rsidRPr="00A16735">
        <w:rPr>
          <w:rFonts w:cs="Times New Roman"/>
        </w:rPr>
        <w:t xml:space="preserve"> the Govern</w:t>
      </w:r>
      <w:r w:rsidR="00073D1F">
        <w:rPr>
          <w:rFonts w:cs="Times New Roman"/>
        </w:rPr>
        <w:t>or of the Central Bank of Ghana</w:t>
      </w:r>
      <w:r w:rsidR="00F97203" w:rsidRPr="00A16735">
        <w:rPr>
          <w:rFonts w:cs="Times New Roman"/>
        </w:rPr>
        <w:t xml:space="preserve"> Henry </w:t>
      </w:r>
      <w:r w:rsidR="009740E5">
        <w:rPr>
          <w:rFonts w:cs="Times New Roman"/>
        </w:rPr>
        <w:t xml:space="preserve">Wampah </w:t>
      </w:r>
      <w:r w:rsidR="00A83962">
        <w:rPr>
          <w:rFonts w:cs="Times New Roman"/>
        </w:rPr>
        <w:t>(2013)</w:t>
      </w:r>
      <w:r w:rsidRPr="00A16735">
        <w:rPr>
          <w:rFonts w:cs="Times New Roman"/>
        </w:rPr>
        <w:t xml:space="preserve"> eloquently puts it, the financial sector is a “double-edged sword”, with potentially very large positive effects for inclusive growth, </w:t>
      </w:r>
      <w:r w:rsidR="009740E5">
        <w:rPr>
          <w:rFonts w:cs="Times New Roman"/>
        </w:rPr>
        <w:t xml:space="preserve">but also - </w:t>
      </w:r>
      <w:r w:rsidRPr="00A16735">
        <w:rPr>
          <w:rFonts w:cs="Times New Roman"/>
        </w:rPr>
        <w:lastRenderedPageBreak/>
        <w:t>if not robustly regulated</w:t>
      </w:r>
      <w:r w:rsidR="009740E5">
        <w:rPr>
          <w:rFonts w:cs="Times New Roman"/>
        </w:rPr>
        <w:t xml:space="preserve"> </w:t>
      </w:r>
      <w:r w:rsidRPr="00A16735">
        <w:rPr>
          <w:rFonts w:cs="Times New Roman"/>
        </w:rPr>
        <w:t>-</w:t>
      </w:r>
      <w:r w:rsidR="00F97203" w:rsidRPr="00A16735">
        <w:rPr>
          <w:rFonts w:cs="Times New Roman"/>
        </w:rPr>
        <w:t xml:space="preserve"> very large risks, </w:t>
      </w:r>
      <w:r w:rsidRPr="00A16735">
        <w:rPr>
          <w:rFonts w:cs="Times New Roman"/>
        </w:rPr>
        <w:t>“because the absence of this</w:t>
      </w:r>
      <w:r w:rsidR="009740E5">
        <w:rPr>
          <w:rFonts w:cs="Times New Roman"/>
        </w:rPr>
        <w:t xml:space="preserve"> [regulation</w:t>
      </w:r>
      <w:r w:rsidR="009740E5" w:rsidRPr="009740E5">
        <w:rPr>
          <w:rFonts w:cs="Times New Roman"/>
        </w:rPr>
        <w:t>]</w:t>
      </w:r>
      <w:r w:rsidRPr="00A16735">
        <w:rPr>
          <w:rFonts w:cs="Times New Roman"/>
        </w:rPr>
        <w:t xml:space="preserve"> could have disastrous outcomes as observed during the recent global financial and economic crises</w:t>
      </w:r>
      <w:r w:rsidR="009740E5">
        <w:rPr>
          <w:rFonts w:cs="Times New Roman"/>
        </w:rPr>
        <w:t>.</w:t>
      </w:r>
      <w:r w:rsidRPr="00A16735">
        <w:rPr>
          <w:rFonts w:cs="Times New Roman"/>
        </w:rPr>
        <w:t>”</w:t>
      </w:r>
    </w:p>
    <w:p w:rsidR="004A063D" w:rsidRPr="00A16735" w:rsidRDefault="004A063D" w:rsidP="00A16735">
      <w:pPr>
        <w:spacing w:line="360" w:lineRule="auto"/>
        <w:jc w:val="both"/>
        <w:rPr>
          <w:rFonts w:cs="Times New Roman"/>
        </w:rPr>
      </w:pPr>
      <w:r w:rsidRPr="00A16735">
        <w:rPr>
          <w:rFonts w:cs="Times New Roman"/>
        </w:rPr>
        <w:t>Becau</w:t>
      </w:r>
      <w:r w:rsidR="00F97203" w:rsidRPr="00A16735">
        <w:rPr>
          <w:rFonts w:cs="Times New Roman"/>
        </w:rPr>
        <w:t>se financial sectors for SSA</w:t>
      </w:r>
      <w:r w:rsidRPr="00A16735">
        <w:rPr>
          <w:rFonts w:cs="Times New Roman"/>
        </w:rPr>
        <w:t xml:space="preserve"> LIC countries are still at an early stage of</w:t>
      </w:r>
      <w:r w:rsidR="009740E5">
        <w:rPr>
          <w:rFonts w:cs="Times New Roman"/>
        </w:rPr>
        <w:t xml:space="preserve"> development, </w:t>
      </w:r>
      <w:r w:rsidRPr="00A16735">
        <w:rPr>
          <w:rFonts w:cs="Times New Roman"/>
        </w:rPr>
        <w:t xml:space="preserve">lessons from the </w:t>
      </w:r>
      <w:r w:rsidR="006304D3" w:rsidRPr="00A16735">
        <w:rPr>
          <w:rFonts w:cs="Times New Roman"/>
        </w:rPr>
        <w:t xml:space="preserve">global financial </w:t>
      </w:r>
      <w:r w:rsidRPr="00A16735">
        <w:rPr>
          <w:rFonts w:cs="Times New Roman"/>
        </w:rPr>
        <w:t>crisis</w:t>
      </w:r>
      <w:r w:rsidR="006304D3" w:rsidRPr="00A16735">
        <w:rPr>
          <w:rFonts w:cs="Times New Roman"/>
        </w:rPr>
        <w:t xml:space="preserve"> as well as of previo</w:t>
      </w:r>
      <w:r w:rsidR="001A5F6A" w:rsidRPr="00A16735">
        <w:rPr>
          <w:rFonts w:cs="Times New Roman"/>
        </w:rPr>
        <w:t xml:space="preserve">us emerging economies’ crises, </w:t>
      </w:r>
      <w:r w:rsidRPr="00A16735">
        <w:rPr>
          <w:rFonts w:cs="Times New Roman"/>
        </w:rPr>
        <w:t>could inform their financial sector development strategies</w:t>
      </w:r>
      <w:r w:rsidR="001A5F6A" w:rsidRPr="00A16735">
        <w:rPr>
          <w:rFonts w:cs="Times New Roman"/>
        </w:rPr>
        <w:t xml:space="preserve"> as well as </w:t>
      </w:r>
      <w:r w:rsidR="002832E0">
        <w:rPr>
          <w:rFonts w:cs="Times New Roman"/>
        </w:rPr>
        <w:t xml:space="preserve">their </w:t>
      </w:r>
      <w:r w:rsidR="001A5F6A" w:rsidRPr="00A16735">
        <w:rPr>
          <w:rFonts w:cs="Times New Roman"/>
        </w:rPr>
        <w:t>financial regulation</w:t>
      </w:r>
      <w:r w:rsidRPr="00A16735">
        <w:rPr>
          <w:rFonts w:cs="Times New Roman"/>
        </w:rPr>
        <w:t>. The advantage of being a latecomer to financial development is that African LICs can learn both positive and negative lessons from financial development and crises in other regions.</w:t>
      </w:r>
    </w:p>
    <w:p w:rsidR="00F85F9A" w:rsidRPr="00A16735" w:rsidRDefault="004A063D" w:rsidP="00A16735">
      <w:pPr>
        <w:spacing w:line="360" w:lineRule="auto"/>
        <w:jc w:val="both"/>
      </w:pPr>
      <w:r w:rsidRPr="00A16735">
        <w:rPr>
          <w:rFonts w:cs="Times New Roman"/>
        </w:rPr>
        <w:t>LICs financial sectors, while generally still shallow, are experiencing in some coun</w:t>
      </w:r>
      <w:r w:rsidR="002832E0">
        <w:rPr>
          <w:rFonts w:cs="Times New Roman"/>
        </w:rPr>
        <w:t xml:space="preserve">tries fairly rapid growth. This </w:t>
      </w:r>
      <w:r w:rsidRPr="00A16735">
        <w:rPr>
          <w:rFonts w:cs="Times New Roman"/>
        </w:rPr>
        <w:t>growth is often concentrated in credit to real estate or households more generally (see for example, Griffith-Jones with Karwowski, op cit</w:t>
      </w:r>
      <w:r w:rsidR="002832E0">
        <w:rPr>
          <w:rFonts w:cs="Times New Roman"/>
        </w:rPr>
        <w:t>.</w:t>
      </w:r>
      <w:r w:rsidRPr="00A16735">
        <w:rPr>
          <w:rFonts w:cs="Times New Roman"/>
        </w:rPr>
        <w:t xml:space="preserve">). Combined with African countries’ vulnerabilities, such as to external shocks, this might pose risks to financial system stability in the future.  Whilst it is  </w:t>
      </w:r>
      <w:r w:rsidR="00B528BE" w:rsidRPr="00A16735">
        <w:rPr>
          <w:rFonts w:cs="Times New Roman"/>
        </w:rPr>
        <w:t xml:space="preserve"> very </w:t>
      </w:r>
      <w:r w:rsidRPr="00A16735">
        <w:rPr>
          <w:rFonts w:cs="Times New Roman"/>
        </w:rPr>
        <w:t xml:space="preserve">positive that in the last </w:t>
      </w:r>
      <w:r w:rsidR="002832E0">
        <w:rPr>
          <w:rFonts w:cs="Times New Roman"/>
        </w:rPr>
        <w:t>ten years in Sub-Saharan Africa</w:t>
      </w:r>
      <w:r w:rsidRPr="00A16735">
        <w:rPr>
          <w:rFonts w:cs="Times New Roman"/>
        </w:rPr>
        <w:t xml:space="preserve"> there has been only one major banking crisis (in Nigeria</w:t>
      </w:r>
      <w:r w:rsidR="00D83B09" w:rsidRPr="00A16735">
        <w:rPr>
          <w:rFonts w:cs="Times New Roman"/>
        </w:rPr>
        <w:t>)</w:t>
      </w:r>
      <w:r w:rsidR="000E7F62" w:rsidRPr="00A16735">
        <w:rPr>
          <w:rFonts w:cs="Times New Roman"/>
        </w:rPr>
        <w:t xml:space="preserve"> </w:t>
      </w:r>
      <w:r w:rsidR="006304D3" w:rsidRPr="00A16735">
        <w:rPr>
          <w:rFonts w:cs="Times New Roman"/>
        </w:rPr>
        <w:t xml:space="preserve">- </w:t>
      </w:r>
      <w:r w:rsidR="002832E0">
        <w:rPr>
          <w:rFonts w:cs="Times New Roman"/>
        </w:rPr>
        <w:t xml:space="preserve">a </w:t>
      </w:r>
      <w:r w:rsidR="006304D3" w:rsidRPr="00A16735">
        <w:rPr>
          <w:rFonts w:cs="Times New Roman"/>
        </w:rPr>
        <w:t xml:space="preserve">country that had seen a very rapid increase in the </w:t>
      </w:r>
      <w:r w:rsidR="00AC0890" w:rsidRPr="00A16735">
        <w:rPr>
          <w:rFonts w:cs="Times New Roman"/>
        </w:rPr>
        <w:t xml:space="preserve">ratio of credit to GDP from 11% in </w:t>
      </w:r>
      <w:r w:rsidR="00F97203" w:rsidRPr="00A16735">
        <w:rPr>
          <w:rFonts w:cs="Times New Roman"/>
        </w:rPr>
        <w:t>2000 to 30% in 2010</w:t>
      </w:r>
      <w:r w:rsidR="002832E0">
        <w:rPr>
          <w:rFonts w:cs="Times New Roman"/>
        </w:rPr>
        <w:t xml:space="preserve"> </w:t>
      </w:r>
      <w:r w:rsidR="00F97203" w:rsidRPr="00A16735">
        <w:rPr>
          <w:rFonts w:cs="Times New Roman"/>
        </w:rPr>
        <w:t>-</w:t>
      </w:r>
      <w:r w:rsidRPr="00A16735">
        <w:rPr>
          <w:rFonts w:cs="Times New Roman"/>
        </w:rPr>
        <w:t xml:space="preserve"> care must be taken that such a positive record does not generate complacency that fina</w:t>
      </w:r>
      <w:r w:rsidR="002832E0">
        <w:rPr>
          <w:rFonts w:cs="Times New Roman"/>
        </w:rPr>
        <w:t>ncial stability is ensured</w:t>
      </w:r>
      <w:r w:rsidR="000E7F62" w:rsidRPr="00A16735">
        <w:rPr>
          <w:rFonts w:cs="Times New Roman"/>
        </w:rPr>
        <w:t xml:space="preserve"> as </w:t>
      </w:r>
      <w:r w:rsidR="002832E0">
        <w:rPr>
          <w:rFonts w:cs="Times New Roman"/>
        </w:rPr>
        <w:t xml:space="preserve">has </w:t>
      </w:r>
      <w:r w:rsidR="000E7F62" w:rsidRPr="00A16735">
        <w:rPr>
          <w:rFonts w:cs="Times New Roman"/>
        </w:rPr>
        <w:t xml:space="preserve">occurred </w:t>
      </w:r>
      <w:r w:rsidR="00F55FBC" w:rsidRPr="00A16735">
        <w:rPr>
          <w:rFonts w:cs="Times New Roman"/>
        </w:rPr>
        <w:t xml:space="preserve">so frequently in </w:t>
      </w:r>
      <w:r w:rsidRPr="00A16735">
        <w:rPr>
          <w:rFonts w:cs="Times New Roman"/>
        </w:rPr>
        <w:t xml:space="preserve">most other regions of the world. </w:t>
      </w:r>
      <w:r w:rsidR="000E7F62" w:rsidRPr="00A16735">
        <w:rPr>
          <w:rFonts w:cs="Times New Roman"/>
        </w:rPr>
        <w:t>One importan</w:t>
      </w:r>
      <w:r w:rsidR="002832E0">
        <w:rPr>
          <w:rFonts w:cs="Times New Roman"/>
        </w:rPr>
        <w:t>t area for financial regulation</w:t>
      </w:r>
      <w:r w:rsidR="000E7F62" w:rsidRPr="00A16735">
        <w:rPr>
          <w:rFonts w:cs="Times New Roman"/>
        </w:rPr>
        <w:t>, in LICs as elsewhere</w:t>
      </w:r>
      <w:r w:rsidR="006E7748" w:rsidRPr="00A16735">
        <w:rPr>
          <w:rFonts w:cs="Times New Roman"/>
        </w:rPr>
        <w:t>,</w:t>
      </w:r>
      <w:r w:rsidR="000E7F62" w:rsidRPr="00A16735">
        <w:rPr>
          <w:rFonts w:cs="Times New Roman"/>
        </w:rPr>
        <w:t xml:space="preserve"> is </w:t>
      </w:r>
      <w:r w:rsidR="00F97203" w:rsidRPr="00A16735">
        <w:rPr>
          <w:rFonts w:cs="Times New Roman"/>
        </w:rPr>
        <w:t xml:space="preserve"> therefore </w:t>
      </w:r>
      <w:r w:rsidR="000E7F62" w:rsidRPr="00A16735">
        <w:rPr>
          <w:rFonts w:cs="Times New Roman"/>
        </w:rPr>
        <w:t xml:space="preserve">for financial regulation to be counter-cyclical, that is </w:t>
      </w:r>
      <w:r w:rsidR="002832E0">
        <w:rPr>
          <w:rFonts w:cs="Times New Roman"/>
        </w:rPr>
        <w:t xml:space="preserve">to </w:t>
      </w:r>
      <w:r w:rsidR="000E7F62" w:rsidRPr="00A16735">
        <w:rPr>
          <w:rFonts w:cs="Times New Roman"/>
        </w:rPr>
        <w:t>lean against the wind, when credit increases at too fast a pace</w:t>
      </w:r>
      <w:r w:rsidR="00073D1F">
        <w:rPr>
          <w:rFonts w:cs="Times New Roman"/>
        </w:rPr>
        <w:t xml:space="preserve"> </w:t>
      </w:r>
      <w:r w:rsidR="00073D1F">
        <w:t>for SSA</w:t>
      </w:r>
      <w:r w:rsidR="00F55FBC" w:rsidRPr="00A16735">
        <w:rPr>
          <w:rFonts w:cs="Times New Roman"/>
        </w:rPr>
        <w:t xml:space="preserve"> </w:t>
      </w:r>
      <w:r w:rsidR="002832E0">
        <w:rPr>
          <w:rFonts w:cs="Times New Roman"/>
        </w:rPr>
        <w:t>(</w:t>
      </w:r>
      <w:r w:rsidR="000E7F62" w:rsidRPr="00A16735">
        <w:t>Bagyenda, J., Bro</w:t>
      </w:r>
      <w:r w:rsidR="002832E0">
        <w:t xml:space="preserve">wnbridge, M. and Kasekende, L., </w:t>
      </w:r>
      <w:r w:rsidR="000E7F62" w:rsidRPr="00A16735">
        <w:t>2011</w:t>
      </w:r>
      <w:r w:rsidR="00073D1F">
        <w:t xml:space="preserve">, </w:t>
      </w:r>
      <w:r w:rsidR="002832E0">
        <w:t>also see</w:t>
      </w:r>
      <w:r w:rsidR="00B869A0" w:rsidRPr="00A16735">
        <w:t xml:space="preserve"> Griffith-Jones and Ocampo, 2010, more generally)</w:t>
      </w:r>
      <w:r w:rsidR="000E7F62" w:rsidRPr="00A16735">
        <w:t>. Important analytical research is b</w:t>
      </w:r>
      <w:r w:rsidR="006E7748" w:rsidRPr="00A16735">
        <w:t>eginning in Sub-</w:t>
      </w:r>
      <w:r w:rsidR="000E7F62" w:rsidRPr="00A16735">
        <w:t>Saharan Africa itself, on how such counter-cyclical or macro-prudential regulation should be implemented in LICS</w:t>
      </w:r>
      <w:r w:rsidR="00AC0890" w:rsidRPr="00A16735">
        <w:t xml:space="preserve"> </w:t>
      </w:r>
      <w:r w:rsidR="000E7F62" w:rsidRPr="00A16735">
        <w:t xml:space="preserve">(see </w:t>
      </w:r>
      <w:r w:rsidR="00EE1537">
        <w:t>K</w:t>
      </w:r>
      <w:r w:rsidR="006B41F1">
        <w:t>h</w:t>
      </w:r>
      <w:r w:rsidR="00EE1537">
        <w:t>arkar, 2012</w:t>
      </w:r>
      <w:r w:rsidR="004C7833">
        <w:t>,</w:t>
      </w:r>
      <w:r w:rsidR="006B41F1">
        <w:t xml:space="preserve"> </w:t>
      </w:r>
      <w:r w:rsidR="00EE1537">
        <w:t>writing for Bank of Uganda Financial Stability Report)</w:t>
      </w:r>
      <w:r w:rsidR="00073D1F">
        <w:t>.</w:t>
      </w:r>
    </w:p>
    <w:p w:rsidR="00F85F9A" w:rsidRPr="00A16735" w:rsidRDefault="004A063D" w:rsidP="00A16735">
      <w:pPr>
        <w:spacing w:line="360" w:lineRule="auto"/>
        <w:jc w:val="both"/>
      </w:pPr>
      <w:r w:rsidRPr="00A16735">
        <w:rPr>
          <w:rFonts w:cs="Times New Roman"/>
        </w:rPr>
        <w:t>One positive advantage of regulation in se</w:t>
      </w:r>
      <w:r w:rsidR="006304D3" w:rsidRPr="00A16735">
        <w:rPr>
          <w:rFonts w:cs="Times New Roman"/>
        </w:rPr>
        <w:t xml:space="preserve">veral African countries may be </w:t>
      </w:r>
      <w:r w:rsidRPr="00A16735">
        <w:rPr>
          <w:rFonts w:cs="Times New Roman"/>
        </w:rPr>
        <w:t>that they have</w:t>
      </w:r>
      <w:r w:rsidR="001A5F6A" w:rsidRPr="00A16735">
        <w:rPr>
          <w:rFonts w:cs="Times New Roman"/>
        </w:rPr>
        <w:t xml:space="preserve"> developed a different approach,</w:t>
      </w:r>
      <w:r w:rsidRPr="00A16735">
        <w:rPr>
          <w:rFonts w:cs="Times New Roman"/>
        </w:rPr>
        <w:t xml:space="preserve"> which seems better suited to African realities than internati</w:t>
      </w:r>
      <w:r w:rsidR="007F62CF">
        <w:rPr>
          <w:rFonts w:cs="Times New Roman"/>
        </w:rPr>
        <w:t>onally adopted regulation rules</w:t>
      </w:r>
      <w:r w:rsidRPr="00A16735">
        <w:rPr>
          <w:rFonts w:cs="Times New Roman"/>
        </w:rPr>
        <w:t xml:space="preserve"> that are extremely complex</w:t>
      </w:r>
      <w:r w:rsidR="007F62CF">
        <w:rPr>
          <w:rFonts w:cs="Times New Roman"/>
        </w:rPr>
        <w:t>.</w:t>
      </w:r>
      <w:r w:rsidRPr="00A16735">
        <w:t xml:space="preserve"> Bagyenda, J., Brownbri</w:t>
      </w:r>
      <w:r w:rsidR="00AC0890" w:rsidRPr="00A16735">
        <w:t>dge, M. and Kasekende, L. op cit</w:t>
      </w:r>
      <w:r w:rsidR="00073D1F">
        <w:t>.</w:t>
      </w:r>
      <w:r w:rsidR="007F62CF">
        <w:t>, analyse this approach, which includes</w:t>
      </w:r>
      <w:r w:rsidRPr="00A16735">
        <w:t xml:space="preserve"> limiting the amount banks can lend to individual borrowers </w:t>
      </w:r>
      <w:r w:rsidR="007F62CF">
        <w:t xml:space="preserve">and encourages banks to have a </w:t>
      </w:r>
      <w:r w:rsidRPr="00A16735">
        <w:t>structur</w:t>
      </w:r>
      <w:r w:rsidR="00AC0890" w:rsidRPr="00A16735">
        <w:t>e of assets that are less risky</w:t>
      </w:r>
      <w:r w:rsidR="00F55FBC" w:rsidRPr="00A16735">
        <w:t xml:space="preserve"> rather than rely</w:t>
      </w:r>
      <w:r w:rsidR="007F62CF">
        <w:t>ing</w:t>
      </w:r>
      <w:r w:rsidR="00F55FBC" w:rsidRPr="00A16735">
        <w:t xml:space="preserve"> on extremely complex mod</w:t>
      </w:r>
      <w:r w:rsidR="00AB6F3E">
        <w:t>els to try to measure risk, partly</w:t>
      </w:r>
      <w:r w:rsidR="00F55FBC" w:rsidRPr="00A16735">
        <w:t xml:space="preserve"> because data is not available for such models for a sufficient period of time</w:t>
      </w:r>
      <w:r w:rsidRPr="00A16735">
        <w:t>.</w:t>
      </w:r>
      <w:r w:rsidR="00F97203" w:rsidRPr="00A16735">
        <w:t xml:space="preserve"> A challenge for LIC regulators is how to combine these and other existing elements of their existing regulations </w:t>
      </w:r>
      <w:r w:rsidR="00EE1537">
        <w:t xml:space="preserve">with the suggestions and rules </w:t>
      </w:r>
      <w:r w:rsidR="00F97203" w:rsidRPr="00A16735">
        <w:t>coming from the international discussion, particularly fro</w:t>
      </w:r>
      <w:r w:rsidR="00EE1537">
        <w:t>m the Basle B</w:t>
      </w:r>
      <w:r w:rsidR="00F97203" w:rsidRPr="00A16735">
        <w:t>anking committee</w:t>
      </w:r>
      <w:r w:rsidR="00EE1537">
        <w:t>, and adapt them to their own realities and policy objectives</w:t>
      </w:r>
      <w:r w:rsidR="00F97203" w:rsidRPr="00A16735">
        <w:t>.</w:t>
      </w:r>
    </w:p>
    <w:p w:rsidR="00AB6F3E" w:rsidRDefault="00F85F9A" w:rsidP="00A16735">
      <w:pPr>
        <w:spacing w:line="360" w:lineRule="auto"/>
        <w:jc w:val="both"/>
        <w:rPr>
          <w:rFonts w:cs="Times New Roman"/>
        </w:rPr>
      </w:pPr>
      <w:r w:rsidRPr="00A16735">
        <w:lastRenderedPageBreak/>
        <w:t>More broadly, there are issues about the desirable size and struct</w:t>
      </w:r>
      <w:r w:rsidR="00F97203" w:rsidRPr="00A16735">
        <w:t xml:space="preserve">ure of the financial sector in </w:t>
      </w:r>
      <w:r w:rsidRPr="00A16735">
        <w:t xml:space="preserve">both low income </w:t>
      </w:r>
      <w:r w:rsidR="008A34A9" w:rsidRPr="00A16735">
        <w:t xml:space="preserve">and middle income </w:t>
      </w:r>
      <w:r w:rsidRPr="00A16735">
        <w:t>countries</w:t>
      </w:r>
      <w:r w:rsidR="009C3770" w:rsidRPr="00A16735">
        <w:t>.</w:t>
      </w:r>
      <w:r w:rsidR="009C3770" w:rsidRPr="00A16735">
        <w:rPr>
          <w:rFonts w:cs="Times New Roman"/>
        </w:rPr>
        <w:t xml:space="preserve"> The traditional positive link between deeper as well as larger financial sector and long term growth, that started in the literature wi</w:t>
      </w:r>
      <w:r w:rsidR="00AC0890" w:rsidRPr="00A16735">
        <w:rPr>
          <w:rFonts w:cs="Times New Roman"/>
        </w:rPr>
        <w:t xml:space="preserve">th Bagehot and Schumpeter, and </w:t>
      </w:r>
      <w:r w:rsidR="009C3770" w:rsidRPr="00A16735">
        <w:rPr>
          <w:rFonts w:cs="Times New Roman"/>
        </w:rPr>
        <w:t xml:space="preserve">was reflected in quite a large part of the empirical literature, such as Levine (2005), is being increasingly challenged. Authors like Easterly, Islam and Stiglitz (2000) had already early on suggested that financial depth (measured by private credit to GDP ratio) reduces volatility of output up to a point, </w:t>
      </w:r>
      <w:r w:rsidR="00AB6F3E">
        <w:rPr>
          <w:rFonts w:cs="Times New Roman"/>
        </w:rPr>
        <w:t>but beyond that</w:t>
      </w:r>
      <w:r w:rsidR="009C3770" w:rsidRPr="00A16735">
        <w:rPr>
          <w:rFonts w:cs="Times New Roman"/>
        </w:rPr>
        <w:t xml:space="preserve"> </w:t>
      </w:r>
      <w:r w:rsidR="00EE1537">
        <w:rPr>
          <w:rFonts w:cs="Times New Roman"/>
        </w:rPr>
        <w:t xml:space="preserve">(possibly around 80-100% of GDP) </w:t>
      </w:r>
      <w:r w:rsidR="009C3770" w:rsidRPr="00A16735">
        <w:rPr>
          <w:rFonts w:cs="Times New Roman"/>
        </w:rPr>
        <w:t xml:space="preserve">actually increases output volatility. More recently, a number of papers are showing </w:t>
      </w:r>
      <w:r w:rsidR="00AB6F3E">
        <w:rPr>
          <w:rFonts w:cs="Times New Roman"/>
        </w:rPr>
        <w:t xml:space="preserve">an </w:t>
      </w:r>
      <w:r w:rsidR="009C3770" w:rsidRPr="00A16735">
        <w:rPr>
          <w:rFonts w:cs="Times New Roman"/>
        </w:rPr>
        <w:t xml:space="preserve">inverse relation between </w:t>
      </w:r>
      <w:r w:rsidR="00AB6F3E">
        <w:rPr>
          <w:rFonts w:cs="Times New Roman"/>
        </w:rPr>
        <w:t xml:space="preserve">the </w:t>
      </w:r>
      <w:r w:rsidR="009C3770" w:rsidRPr="00A16735">
        <w:rPr>
          <w:rFonts w:cs="Times New Roman"/>
        </w:rPr>
        <w:t>size of financial sector and growth, especially beyond a certain level of financial development. Thus, Bank for International Settlements (B</w:t>
      </w:r>
      <w:r w:rsidR="002125C0">
        <w:rPr>
          <w:rFonts w:cs="Times New Roman"/>
        </w:rPr>
        <w:t xml:space="preserve">IS) economists (Cecchetti and </w:t>
      </w:r>
      <w:r w:rsidR="009C3770" w:rsidRPr="00A16735">
        <w:rPr>
          <w:rFonts w:cs="Times New Roman"/>
        </w:rPr>
        <w:t>Kharroubi, 2012)</w:t>
      </w:r>
      <w:r w:rsidR="00AB6F3E">
        <w:rPr>
          <w:rFonts w:cs="Times New Roman"/>
        </w:rPr>
        <w:t>,</w:t>
      </w:r>
      <w:r w:rsidR="009C3770" w:rsidRPr="00A16735">
        <w:rPr>
          <w:rFonts w:cs="Times New Roman"/>
        </w:rPr>
        <w:t xml:space="preserve"> based on empirical work</w:t>
      </w:r>
      <w:r w:rsidR="00AB6F3E">
        <w:rPr>
          <w:rFonts w:cs="Times New Roman"/>
        </w:rPr>
        <w:t>,</w:t>
      </w:r>
      <w:r w:rsidR="009C3770" w:rsidRPr="00A16735">
        <w:rPr>
          <w:rFonts w:cs="Times New Roman"/>
        </w:rPr>
        <w:t xml:space="preserve"> reach the following conclusions</w:t>
      </w:r>
      <w:r w:rsidR="00AB6F3E">
        <w:rPr>
          <w:rFonts w:cs="Times New Roman"/>
        </w:rPr>
        <w:t>:</w:t>
      </w:r>
    </w:p>
    <w:p w:rsidR="009C3770" w:rsidRPr="00A16735" w:rsidRDefault="009C3770" w:rsidP="00A16735">
      <w:pPr>
        <w:spacing w:line="360" w:lineRule="auto"/>
        <w:jc w:val="both"/>
        <w:rPr>
          <w:rFonts w:cs="Times New Roman"/>
        </w:rPr>
      </w:pPr>
      <w:r w:rsidRPr="00A16735">
        <w:rPr>
          <w:rFonts w:cs="Times New Roman"/>
        </w:rPr>
        <w:t>“First, with finance you can have too much of a good thing. That is, at low levels, a larger financial system goes hand in hand with higher productivity growth. But there comes a point, where more banking and more credit lower growth. Secondly, looking at the impact of growth in</w:t>
      </w:r>
      <w:r w:rsidR="00B869A0" w:rsidRPr="00A16735">
        <w:rPr>
          <w:rFonts w:cs="Times New Roman"/>
        </w:rPr>
        <w:t xml:space="preserve"> the financial system on real growth, </w:t>
      </w:r>
      <w:r w:rsidRPr="00A16735">
        <w:rPr>
          <w:rFonts w:cs="Times New Roman"/>
        </w:rPr>
        <w:t>clear evidence</w:t>
      </w:r>
      <w:r w:rsidR="00B869A0" w:rsidRPr="00A16735">
        <w:rPr>
          <w:rFonts w:cs="Times New Roman"/>
        </w:rPr>
        <w:t xml:space="preserve"> is found </w:t>
      </w:r>
      <w:r w:rsidRPr="00A16735">
        <w:rPr>
          <w:rFonts w:cs="Times New Roman"/>
        </w:rPr>
        <w:t>that faster growth in finance is bad for aggregate real growth. This implies financial booms are bad for trend growth. Hence, macro prudential or counter-cycli</w:t>
      </w:r>
      <w:r w:rsidR="005349E4" w:rsidRPr="00A16735">
        <w:rPr>
          <w:rFonts w:cs="Times New Roman"/>
        </w:rPr>
        <w:t>cal regulation</w:t>
      </w:r>
      <w:r w:rsidR="002125C0">
        <w:rPr>
          <w:rFonts w:cs="Times New Roman"/>
        </w:rPr>
        <w:t xml:space="preserve"> is important.”</w:t>
      </w:r>
    </w:p>
    <w:p w:rsidR="009C3770" w:rsidRPr="00A16735" w:rsidRDefault="00B869A0" w:rsidP="00A16735">
      <w:pPr>
        <w:spacing w:line="360" w:lineRule="auto"/>
        <w:jc w:val="both"/>
        <w:rPr>
          <w:rFonts w:cs="Times New Roman"/>
        </w:rPr>
      </w:pPr>
      <w:r w:rsidRPr="00A16735">
        <w:rPr>
          <w:rFonts w:cs="Times New Roman"/>
        </w:rPr>
        <w:t xml:space="preserve">Along similar lines, an </w:t>
      </w:r>
      <w:r w:rsidR="009C3770" w:rsidRPr="00A16735">
        <w:rPr>
          <w:rFonts w:cs="Times New Roman"/>
        </w:rPr>
        <w:t>IMF Discussion Paper (</w:t>
      </w:r>
      <w:r w:rsidR="005349E4" w:rsidRPr="00A16735">
        <w:rPr>
          <w:rFonts w:cs="Times New Roman"/>
          <w:iCs/>
        </w:rPr>
        <w:t>Arcand, Berkes and Panissa, 2012</w:t>
      </w:r>
      <w:r w:rsidR="009C3770" w:rsidRPr="00A16735">
        <w:rPr>
          <w:rFonts w:cs="Times New Roman"/>
          <w:iCs/>
        </w:rPr>
        <w:t xml:space="preserve">) </w:t>
      </w:r>
      <w:r w:rsidR="001B131A">
        <w:rPr>
          <w:rFonts w:cs="Times New Roman"/>
        </w:rPr>
        <w:t>suggest</w:t>
      </w:r>
      <w:r w:rsidR="002125C0">
        <w:rPr>
          <w:rFonts w:cs="Times New Roman"/>
        </w:rPr>
        <w:t>s</w:t>
      </w:r>
      <w:r w:rsidR="009C3770" w:rsidRPr="00A16735">
        <w:rPr>
          <w:rFonts w:cs="Times New Roman"/>
        </w:rPr>
        <w:t xml:space="preserve"> empirical explanations for the fact that large financial sectors may have negative effects on economic growth. It gives two possible reasons. The first has to do with increased probability of large economic crashes (Minsky, 1974, Kindleberger, 1978 and Rajan, 2005) and the second relates to potential misallocation of resources, even in good times (T</w:t>
      </w:r>
      <w:r w:rsidR="002125C0">
        <w:rPr>
          <w:rFonts w:cs="Times New Roman"/>
        </w:rPr>
        <w:t>obin, 1984). De la Torre et al. (2011)</w:t>
      </w:r>
      <w:r w:rsidR="009C3770" w:rsidRPr="00A16735">
        <w:rPr>
          <w:rFonts w:cs="Times New Roman"/>
        </w:rPr>
        <w:t xml:space="preserve"> point out that "Too much finance" may be consistent with positive but decreasing returns of financial depth which, at some point, become smaller than the cost of instability. It is interesting</w:t>
      </w:r>
      <w:r w:rsidR="004F1D93">
        <w:rPr>
          <w:rFonts w:cs="Times New Roman"/>
        </w:rPr>
        <w:t xml:space="preserve"> that the IMF Discussion paper </w:t>
      </w:r>
      <w:r w:rsidR="009C3770" w:rsidRPr="00A16735">
        <w:rPr>
          <w:rFonts w:cs="Times New Roman"/>
        </w:rPr>
        <w:t>(op cit.) results are robust to restricting the analysis to tranquil periods. This suggests that volatility and banking crises are only part of the story. The explanation for the "Too Much Finance" result is not only due to financial crises and volatility, but also misallocation of resources.</w:t>
      </w:r>
    </w:p>
    <w:p w:rsidR="009C3770" w:rsidRPr="00A16735" w:rsidRDefault="00B869A0" w:rsidP="00A16735">
      <w:pPr>
        <w:spacing w:line="360" w:lineRule="auto"/>
        <w:jc w:val="both"/>
        <w:rPr>
          <w:rFonts w:cs="Times New Roman"/>
        </w:rPr>
      </w:pPr>
      <w:r w:rsidRPr="00A16735">
        <w:rPr>
          <w:rFonts w:cs="Times New Roman"/>
        </w:rPr>
        <w:t>It is also likely</w:t>
      </w:r>
      <w:r w:rsidR="009C3770" w:rsidRPr="00A16735">
        <w:rPr>
          <w:rFonts w:cs="Times New Roman"/>
        </w:rPr>
        <w:t xml:space="preserve"> that the relationship between financial depth and economic growth depends on whether lending is used to finance investment in productive assets or to feed speculative bubbles. Not only where credit serves to feed speculative bubbles but also where it is used for consumption purposes</w:t>
      </w:r>
      <w:r w:rsidR="004F1D93">
        <w:rPr>
          <w:rFonts w:cs="Times New Roman"/>
        </w:rPr>
        <w:t>,</w:t>
      </w:r>
      <w:r w:rsidR="009C3770" w:rsidRPr="00A16735">
        <w:rPr>
          <w:rFonts w:cs="Times New Roman"/>
        </w:rPr>
        <w:t xml:space="preserve"> as opposed to productive investment</w:t>
      </w:r>
      <w:r w:rsidR="004F1D93">
        <w:rPr>
          <w:rFonts w:cs="Times New Roman"/>
        </w:rPr>
        <w:t>,</w:t>
      </w:r>
      <w:r w:rsidR="009C3770" w:rsidRPr="00A16735">
        <w:rPr>
          <w:rFonts w:cs="Times New Roman"/>
        </w:rPr>
        <w:t xml:space="preserve"> the effect of financial depth on economic growth seems limit</w:t>
      </w:r>
      <w:r w:rsidR="004F1D93">
        <w:rPr>
          <w:rFonts w:cs="Times New Roman"/>
        </w:rPr>
        <w:t>ed. Using data</w:t>
      </w:r>
      <w:r w:rsidR="009C3770" w:rsidRPr="00A16735">
        <w:rPr>
          <w:rFonts w:cs="Times New Roman"/>
        </w:rPr>
        <w:t xml:space="preserve"> for th</w:t>
      </w:r>
      <w:r w:rsidR="004F1D93">
        <w:rPr>
          <w:rFonts w:cs="Times New Roman"/>
        </w:rPr>
        <w:t xml:space="preserve">e period 1994-2005, Beck et al. (2012) and Beck et al. (2011) </w:t>
      </w:r>
      <w:r w:rsidR="009C3770" w:rsidRPr="00A16735">
        <w:rPr>
          <w:rFonts w:cs="Times New Roman"/>
        </w:rPr>
        <w:t xml:space="preserve">show that enterprise credit is positively associated with economic growth but that there is no correlation </w:t>
      </w:r>
      <w:r w:rsidR="009C3770" w:rsidRPr="00A16735">
        <w:rPr>
          <w:rFonts w:cs="Times New Roman"/>
        </w:rPr>
        <w:lastRenderedPageBreak/>
        <w:t>between growth and household credit. Given that the share of bank lending to households increases with economic and financial development</w:t>
      </w:r>
      <w:r w:rsidR="004F1D93">
        <w:rPr>
          <w:rFonts w:cs="Times New Roman"/>
        </w:rPr>
        <w:t>,</w:t>
      </w:r>
      <w:r w:rsidR="009C3770" w:rsidRPr="00A16735">
        <w:rPr>
          <w:rFonts w:cs="Times New Roman"/>
        </w:rPr>
        <w:t xml:space="preserve"> and household credit is often used for consumption purposes whereas enterprise credit is used for productive investment, the allocation of resources goes some way towards explaining the non-linear finance-growth relationship. In African countries, only a small share of b</w:t>
      </w:r>
      <w:r w:rsidR="005E70A7">
        <w:rPr>
          <w:rFonts w:cs="Times New Roman"/>
        </w:rPr>
        <w:t>ank lending goes to households</w:t>
      </w:r>
      <w:r w:rsidR="00DB3359">
        <w:rPr>
          <w:rFonts w:cs="Times New Roman"/>
        </w:rPr>
        <w:t>;</w:t>
      </w:r>
      <w:r w:rsidR="005E70A7">
        <w:rPr>
          <w:rFonts w:cs="Times New Roman"/>
        </w:rPr>
        <w:t xml:space="preserve"> </w:t>
      </w:r>
      <w:r w:rsidR="00DB3359">
        <w:rPr>
          <w:rFonts w:cs="Times New Roman"/>
        </w:rPr>
        <w:t>h</w:t>
      </w:r>
      <w:r w:rsidR="005E70A7">
        <w:rPr>
          <w:rFonts w:cs="Times New Roman"/>
        </w:rPr>
        <w:t>owever</w:t>
      </w:r>
      <w:r w:rsidR="009C3770" w:rsidRPr="00A16735">
        <w:rPr>
          <w:rFonts w:cs="Times New Roman"/>
        </w:rPr>
        <w:t xml:space="preserve"> as financial sectors and economies grow, this will change, as has been the case in South Africa</w:t>
      </w:r>
      <w:r w:rsidRPr="00A16735">
        <w:rPr>
          <w:rFonts w:cs="Times New Roman"/>
        </w:rPr>
        <w:t xml:space="preserve"> and Mauritius</w:t>
      </w:r>
      <w:r w:rsidR="001B131A">
        <w:rPr>
          <w:rFonts w:cs="Times New Roman"/>
        </w:rPr>
        <w:t xml:space="preserve"> (see below)</w:t>
      </w:r>
      <w:r w:rsidR="009C3770" w:rsidRPr="00A16735">
        <w:rPr>
          <w:rFonts w:cs="Times New Roman"/>
        </w:rPr>
        <w:t>.</w:t>
      </w:r>
    </w:p>
    <w:p w:rsidR="00D83B09" w:rsidRPr="00A16735" w:rsidRDefault="005349E4" w:rsidP="00A16735">
      <w:pPr>
        <w:spacing w:line="360" w:lineRule="auto"/>
        <w:jc w:val="both"/>
        <w:rPr>
          <w:rFonts w:cs="Times New Roman"/>
        </w:rPr>
      </w:pPr>
      <w:r w:rsidRPr="00A16735">
        <w:rPr>
          <w:rFonts w:cs="Times New Roman"/>
        </w:rPr>
        <w:t xml:space="preserve">Crucial in the LIC context </w:t>
      </w:r>
      <w:r w:rsidR="009C3770" w:rsidRPr="00A16735">
        <w:rPr>
          <w:rFonts w:cs="Times New Roman"/>
        </w:rPr>
        <w:t>is the extent to which the findings on the relationship between the structure and size of the financial sector and growth in more developed economies ar</w:t>
      </w:r>
      <w:r w:rsidRPr="00A16735">
        <w:rPr>
          <w:rFonts w:cs="Times New Roman"/>
        </w:rPr>
        <w:t>e relevant for</w:t>
      </w:r>
      <w:r w:rsidR="005E70A7">
        <w:rPr>
          <w:rFonts w:cs="Times New Roman"/>
        </w:rPr>
        <w:t xml:space="preserve"> -</w:t>
      </w:r>
      <w:r w:rsidRPr="00A16735">
        <w:rPr>
          <w:rFonts w:cs="Times New Roman"/>
        </w:rPr>
        <w:t xml:space="preserve"> and apply to</w:t>
      </w:r>
      <w:r w:rsidR="005E70A7">
        <w:rPr>
          <w:rFonts w:cs="Times New Roman"/>
        </w:rPr>
        <w:t xml:space="preserve"> -</w:t>
      </w:r>
      <w:r w:rsidRPr="00A16735">
        <w:rPr>
          <w:rFonts w:cs="Times New Roman"/>
        </w:rPr>
        <w:t xml:space="preserve"> </w:t>
      </w:r>
      <w:r w:rsidR="009C3770" w:rsidRPr="00A16735">
        <w:rPr>
          <w:rFonts w:cs="Times New Roman"/>
        </w:rPr>
        <w:t>African LICs because their financial systems are markedly different,</w:t>
      </w:r>
      <w:r w:rsidRPr="00A16735">
        <w:rPr>
          <w:rFonts w:cs="Times New Roman"/>
        </w:rPr>
        <w:t xml:space="preserve"> and above all</w:t>
      </w:r>
      <w:r w:rsidR="00A414A0" w:rsidRPr="00A16735">
        <w:rPr>
          <w:rFonts w:cs="Times New Roman"/>
        </w:rPr>
        <w:t xml:space="preserve"> are </w:t>
      </w:r>
      <w:r w:rsidRPr="00A16735">
        <w:rPr>
          <w:rFonts w:cs="Times New Roman"/>
        </w:rPr>
        <w:t xml:space="preserve">much smaller </w:t>
      </w:r>
      <w:r w:rsidR="009C3770" w:rsidRPr="00A16735">
        <w:rPr>
          <w:rFonts w:cs="Times New Roman"/>
        </w:rPr>
        <w:t>in absolute size and in proportion</w:t>
      </w:r>
      <w:r w:rsidRPr="00A16735">
        <w:rPr>
          <w:rFonts w:cs="Times New Roman"/>
        </w:rPr>
        <w:t xml:space="preserve"> to the size of their economy. Whilst the argument and evidence that “too big” a financial sector is </w:t>
      </w:r>
      <w:r w:rsidR="00A414A0" w:rsidRPr="00A16735">
        <w:rPr>
          <w:rFonts w:cs="Times New Roman"/>
        </w:rPr>
        <w:t>bad for growth may be less relevant for countries with</w:t>
      </w:r>
      <w:r w:rsidR="004F44A9">
        <w:rPr>
          <w:rFonts w:cs="Times New Roman"/>
        </w:rPr>
        <w:t xml:space="preserve"> very shallow financial sectors</w:t>
      </w:r>
      <w:r w:rsidR="00A414A0" w:rsidRPr="00A16735">
        <w:rPr>
          <w:rFonts w:cs="Times New Roman"/>
        </w:rPr>
        <w:t xml:space="preserve"> </w:t>
      </w:r>
      <w:r w:rsidR="001B131A">
        <w:rPr>
          <w:rFonts w:cs="Times New Roman"/>
        </w:rPr>
        <w:t>(and indeed policies to gradually deepen these fin</w:t>
      </w:r>
      <w:r w:rsidR="004F44A9">
        <w:rPr>
          <w:rFonts w:cs="Times New Roman"/>
        </w:rPr>
        <w:t>ancial</w:t>
      </w:r>
      <w:r w:rsidR="001B131A">
        <w:rPr>
          <w:rFonts w:cs="Times New Roman"/>
        </w:rPr>
        <w:t xml:space="preserve"> sectors may be desirable), </w:t>
      </w:r>
      <w:r w:rsidR="00A414A0" w:rsidRPr="00A16735">
        <w:rPr>
          <w:rFonts w:cs="Times New Roman"/>
        </w:rPr>
        <w:t>the n</w:t>
      </w:r>
      <w:r w:rsidR="004F44A9">
        <w:rPr>
          <w:rFonts w:cs="Times New Roman"/>
        </w:rPr>
        <w:t xml:space="preserve">eed to avoid too rapid growth </w:t>
      </w:r>
      <w:r w:rsidR="001B131A">
        <w:rPr>
          <w:rFonts w:cs="Times New Roman"/>
        </w:rPr>
        <w:t xml:space="preserve">- </w:t>
      </w:r>
      <w:r w:rsidR="00A414A0" w:rsidRPr="00A16735">
        <w:rPr>
          <w:rFonts w:cs="Times New Roman"/>
        </w:rPr>
        <w:t>ev</w:t>
      </w:r>
      <w:r w:rsidR="001B131A">
        <w:rPr>
          <w:rFonts w:cs="Times New Roman"/>
        </w:rPr>
        <w:t>en from relatively small levels</w:t>
      </w:r>
      <w:r w:rsidR="004F44A9">
        <w:rPr>
          <w:rFonts w:cs="Times New Roman"/>
        </w:rPr>
        <w:t xml:space="preserve"> </w:t>
      </w:r>
      <w:r w:rsidR="001B131A">
        <w:rPr>
          <w:rFonts w:cs="Times New Roman"/>
        </w:rPr>
        <w:t>-</w:t>
      </w:r>
      <w:r w:rsidR="00A414A0" w:rsidRPr="00A16735">
        <w:rPr>
          <w:rFonts w:cs="Times New Roman"/>
        </w:rPr>
        <w:t xml:space="preserve"> seems equally relevan</w:t>
      </w:r>
      <w:r w:rsidR="004F44A9">
        <w:rPr>
          <w:rFonts w:cs="Times New Roman"/>
        </w:rPr>
        <w:t>t for any economy. Furthermore (as discussed below)</w:t>
      </w:r>
      <w:r w:rsidR="003C0101" w:rsidRPr="00A16735">
        <w:rPr>
          <w:rFonts w:cs="Times New Roman"/>
        </w:rPr>
        <w:t xml:space="preserve"> </w:t>
      </w:r>
      <w:r w:rsidR="00A414A0" w:rsidRPr="00A16735">
        <w:rPr>
          <w:rFonts w:cs="Times New Roman"/>
        </w:rPr>
        <w:t xml:space="preserve">the importance of an appropriate structure of the financial sector, so it helps fund inclusive </w:t>
      </w:r>
      <w:r w:rsidR="001B131A">
        <w:rPr>
          <w:rFonts w:cs="Times New Roman"/>
        </w:rPr>
        <w:t xml:space="preserve">and sustainable </w:t>
      </w:r>
      <w:r w:rsidR="00A414A0" w:rsidRPr="00A16735">
        <w:rPr>
          <w:rFonts w:cs="Times New Roman"/>
        </w:rPr>
        <w:t>growth</w:t>
      </w:r>
      <w:r w:rsidR="004F44A9">
        <w:rPr>
          <w:rFonts w:cs="Times New Roman"/>
        </w:rPr>
        <w:t>,</w:t>
      </w:r>
      <w:r w:rsidR="00A414A0" w:rsidRPr="00A16735">
        <w:rPr>
          <w:rFonts w:cs="Times New Roman"/>
        </w:rPr>
        <w:t xml:space="preserve"> is also highly relevant for both low income and middle income countries.</w:t>
      </w:r>
    </w:p>
    <w:p w:rsidR="00D83B09" w:rsidRPr="00A16735" w:rsidRDefault="00D83B09" w:rsidP="00A16735">
      <w:pPr>
        <w:autoSpaceDE w:val="0"/>
        <w:autoSpaceDN w:val="0"/>
        <w:adjustRightInd w:val="0"/>
        <w:spacing w:line="360" w:lineRule="auto"/>
        <w:jc w:val="both"/>
        <w:rPr>
          <w:rFonts w:cs="Times New Roman"/>
        </w:rPr>
      </w:pPr>
      <w:r w:rsidRPr="00A16735">
        <w:rPr>
          <w:rFonts w:cs="Times New Roman"/>
        </w:rPr>
        <w:t>Fast credit growth might exacerbate vulnerabilities and enhance the risk of financial cri</w:t>
      </w:r>
      <w:r w:rsidR="001B131A">
        <w:rPr>
          <w:rFonts w:cs="Times New Roman"/>
        </w:rPr>
        <w:t xml:space="preserve">ses, as it </w:t>
      </w:r>
      <w:r w:rsidR="00584CAD">
        <w:rPr>
          <w:rFonts w:cs="Times New Roman"/>
        </w:rPr>
        <w:t xml:space="preserve">has done in most countries and </w:t>
      </w:r>
      <w:r w:rsidRPr="00A16735">
        <w:rPr>
          <w:rFonts w:cs="Times New Roman"/>
        </w:rPr>
        <w:t>regions of the world</w:t>
      </w:r>
      <w:r w:rsidR="001B131A">
        <w:rPr>
          <w:rFonts w:cs="Times New Roman"/>
        </w:rPr>
        <w:t>, both emerging and developed</w:t>
      </w:r>
      <w:r w:rsidRPr="00A16735">
        <w:rPr>
          <w:rFonts w:cs="Times New Roman"/>
        </w:rPr>
        <w:t xml:space="preserve">. In the African context, the case of Nigeria provides an illustration that banking crises might </w:t>
      </w:r>
      <w:r w:rsidR="001B131A">
        <w:rPr>
          <w:rFonts w:cs="Times New Roman"/>
        </w:rPr>
        <w:t xml:space="preserve">also </w:t>
      </w:r>
      <w:r w:rsidRPr="00A16735">
        <w:rPr>
          <w:rFonts w:cs="Times New Roman"/>
        </w:rPr>
        <w:t xml:space="preserve">cause a negative link between rapid growth of the banking sector and </w:t>
      </w:r>
      <w:r w:rsidR="00DF571D">
        <w:rPr>
          <w:rFonts w:cs="Times New Roman"/>
        </w:rPr>
        <w:t xml:space="preserve">economic </w:t>
      </w:r>
      <w:r w:rsidRPr="00A16735">
        <w:rPr>
          <w:rFonts w:cs="Times New Roman"/>
        </w:rPr>
        <w:t xml:space="preserve">growth, even at relatively low levels of financial </w:t>
      </w:r>
      <w:r w:rsidR="00584CAD">
        <w:rPr>
          <w:rFonts w:cs="Times New Roman"/>
        </w:rPr>
        <w:t>development (</w:t>
      </w:r>
      <w:r w:rsidRPr="00A16735">
        <w:rPr>
          <w:rFonts w:cs="Times New Roman"/>
        </w:rPr>
        <w:t>Nigeria saw a very rapid increase in the ratio of credit to GDP from a very low level,</w:t>
      </w:r>
      <w:r w:rsidR="00B869A0" w:rsidRPr="00A16735">
        <w:rPr>
          <w:rFonts w:cs="Times New Roman"/>
        </w:rPr>
        <w:t xml:space="preserve"> </w:t>
      </w:r>
      <w:r w:rsidR="00DB3359">
        <w:rPr>
          <w:rFonts w:cs="Times New Roman"/>
        </w:rPr>
        <w:t>11% in 2000 to 30% in 2010</w:t>
      </w:r>
      <w:r w:rsidR="00584CAD">
        <w:rPr>
          <w:rFonts w:cs="Times New Roman"/>
        </w:rPr>
        <w:t>)</w:t>
      </w:r>
      <w:r w:rsidRPr="00A16735">
        <w:rPr>
          <w:rFonts w:cs="Times New Roman"/>
        </w:rPr>
        <w:t>. In 2004/2005 the Central Bank of Nigeria (CBN) mandated a steep increase of minimum bank capitalisation with a view to create large internationally competitive banks and increase financial depth</w:t>
      </w:r>
      <w:r w:rsidR="00491FB8">
        <w:rPr>
          <w:rFonts w:cs="Times New Roman"/>
        </w:rPr>
        <w:t xml:space="preserve"> (Soludo, 2004)</w:t>
      </w:r>
      <w:r w:rsidRPr="00A16735">
        <w:rPr>
          <w:rFonts w:cs="Times New Roman"/>
        </w:rPr>
        <w:t>. Banks achieved this capitalisation, which was high even by international standards, by means of equity investment, mergers and acquisitions, resulting in the consolidation of the ba</w:t>
      </w:r>
      <w:r w:rsidR="00CE3E83" w:rsidRPr="00A16735">
        <w:rPr>
          <w:rFonts w:cs="Times New Roman"/>
        </w:rPr>
        <w:t>nking system</w:t>
      </w:r>
      <w:r w:rsidRPr="00A16735">
        <w:rPr>
          <w:rFonts w:cs="Times New Roman"/>
        </w:rPr>
        <w:t>. The consolidation in the domestic banking sector, along with abundant capital in the wake of rising oil prices</w:t>
      </w:r>
      <w:r w:rsidR="00491FB8">
        <w:rPr>
          <w:rFonts w:cs="Times New Roman"/>
        </w:rPr>
        <w:t>,</w:t>
      </w:r>
      <w:r w:rsidRPr="00A16735">
        <w:rPr>
          <w:rFonts w:cs="Times New Roman"/>
        </w:rPr>
        <w:t xml:space="preserve"> </w:t>
      </w:r>
      <w:r w:rsidR="00B869A0" w:rsidRPr="00A16735">
        <w:rPr>
          <w:rFonts w:cs="Times New Roman"/>
        </w:rPr>
        <w:t xml:space="preserve">reportedly </w:t>
      </w:r>
      <w:r w:rsidRPr="00A16735">
        <w:rPr>
          <w:rFonts w:cs="Times New Roman"/>
        </w:rPr>
        <w:t>increased the speed of credit crea</w:t>
      </w:r>
      <w:r w:rsidR="00491FB8">
        <w:rPr>
          <w:rFonts w:cs="Times New Roman"/>
        </w:rPr>
        <w:t xml:space="preserve">tion with significant flows to </w:t>
      </w:r>
      <w:r w:rsidRPr="00A16735">
        <w:rPr>
          <w:rFonts w:cs="Times New Roman"/>
        </w:rPr>
        <w:t>se</w:t>
      </w:r>
      <w:r w:rsidR="00491FB8">
        <w:rPr>
          <w:rFonts w:cs="Times New Roman"/>
        </w:rPr>
        <w:t>ctors with little growth impact. T</w:t>
      </w:r>
      <w:r w:rsidRPr="00A16735">
        <w:rPr>
          <w:rFonts w:cs="Times New Roman"/>
        </w:rPr>
        <w:t>his included loans used to finance share purchases, setting the stage for a financial asset bubble</w:t>
      </w:r>
      <w:r w:rsidR="00491FB8">
        <w:rPr>
          <w:rFonts w:cs="Times New Roman"/>
        </w:rPr>
        <w:t>,</w:t>
      </w:r>
      <w:r w:rsidRPr="00A16735">
        <w:rPr>
          <w:rFonts w:cs="Times New Roman"/>
        </w:rPr>
        <w:t xml:space="preserve"> particularly in bank stocks </w:t>
      </w:r>
      <w:r w:rsidRPr="00A16735">
        <w:rPr>
          <w:rFonts w:cs="Times New Roman"/>
        </w:rPr>
        <w:fldChar w:fldCharType="begin"/>
      </w:r>
      <w:r w:rsidRPr="00A16735">
        <w:rPr>
          <w:rFonts w:cs="Times New Roman"/>
        </w:rPr>
        <w:instrText xml:space="preserve"> ADDIN EN.CITE &lt;EndNote&gt;&lt;Cite&gt;&lt;Author&gt;Sanusi&lt;/Author&gt;&lt;Year&gt;2010&lt;/Year&gt;&lt;RecNum&gt;404&lt;/RecNum&gt;&lt;DisplayText&gt;(Sanusi, 2010)&lt;/DisplayText&gt;&lt;record&gt;&lt;rec-number&gt;404&lt;/rec-number&gt;&lt;foreign-keys&gt;&lt;key app="EN" db-id="9pzez5pegvtpr3e5adz5f2vnsaw9d5pt5vvz"&gt;404&lt;/key&gt;&lt;/foreign-keys&gt;&lt;ref-type name="Unpublished Work"&gt;34&lt;/ref-type&gt;&lt;contributors&gt;&lt;authors&gt;&lt;author&gt;Sanusi, Lamido Sanusi&lt;/author&gt;&lt;/authors&gt;&lt;/contributors&gt;&lt;titles&gt;&lt;title&gt;“The Nigerian Banking Industry: what went wrong and the way forward”. Convocation Lecture delivered at the Convocation Square, Bayero University, Kano, on Friday 26 February, 2010.&lt;/title&gt;&lt;/titles&gt;&lt;dates&gt;&lt;year&gt;2010&lt;/year&gt;&lt;/dates&gt;&lt;pub-location&gt;Kano&lt;/pub-location&gt;&lt;urls&gt;&lt;/urls&gt;&lt;/record&gt;&lt;/Cite&gt;&lt;/EndNote&gt;</w:instrText>
      </w:r>
      <w:r w:rsidRPr="00A16735">
        <w:rPr>
          <w:rFonts w:cs="Times New Roman"/>
        </w:rPr>
        <w:fldChar w:fldCharType="separate"/>
      </w:r>
      <w:r w:rsidRPr="00A16735">
        <w:rPr>
          <w:rFonts w:cs="Times New Roman"/>
          <w:noProof/>
        </w:rPr>
        <w:t>(</w:t>
      </w:r>
      <w:hyperlink r:id="rId11" w:anchor="_ENREF_11" w:tooltip="Sanusi, 2010 #404" w:history="1">
        <w:r w:rsidRPr="00A16735">
          <w:rPr>
            <w:rStyle w:val="Hyperlink"/>
            <w:rFonts w:cs="Times New Roman"/>
            <w:noProof/>
            <w:color w:val="000000"/>
            <w:u w:val="none"/>
          </w:rPr>
          <w:t>Sanusi, 2010</w:t>
        </w:r>
      </w:hyperlink>
      <w:r w:rsidRPr="00A16735">
        <w:rPr>
          <w:rFonts w:cs="Times New Roman"/>
          <w:noProof/>
        </w:rPr>
        <w:t>)</w:t>
      </w:r>
      <w:r w:rsidRPr="00A16735">
        <w:rPr>
          <w:rFonts w:cs="Times New Roman"/>
        </w:rPr>
        <w:fldChar w:fldCharType="end"/>
      </w:r>
      <w:r w:rsidRPr="00A16735">
        <w:rPr>
          <w:rFonts w:cs="Times New Roman"/>
        </w:rPr>
        <w:t xml:space="preserve">. The financial sector boom ended in a bust with a systemic banking crisis in 2009 as financial sector growth had not been accompanied by the corresponding regulatory and supervisory upgrade. </w:t>
      </w:r>
      <w:r w:rsidRPr="00A16735">
        <w:rPr>
          <w:rFonts w:eastAsia="Calibri" w:cs="Times New Roman"/>
          <w:lang w:val="en-US"/>
        </w:rPr>
        <w:t>T</w:t>
      </w:r>
      <w:r w:rsidRPr="00A16735">
        <w:rPr>
          <w:rFonts w:cs="Times New Roman"/>
        </w:rPr>
        <w:t xml:space="preserve">he cost of cleaning up the balance sheets and recapitalising the banks concerned is estimated at  almost 8 per cent of GDP </w:t>
      </w:r>
      <w:r w:rsidRPr="00A16735">
        <w:rPr>
          <w:rFonts w:cs="Times New Roman"/>
        </w:rPr>
        <w:fldChar w:fldCharType="begin"/>
      </w:r>
      <w:r w:rsidRPr="00A16735">
        <w:rPr>
          <w:rFonts w:cs="Times New Roman"/>
        </w:rPr>
        <w:instrText xml:space="preserve"> ADDIN EN.CITE &lt;EndNote&gt;&lt;Cite&gt;&lt;Author&gt;IMF&lt;/Author&gt;&lt;Year&gt;2011&lt;/Year&gt;&lt;RecNum&gt;382&lt;/RecNum&gt;&lt;DisplayText&gt;(IMF, 2011)&lt;/DisplayText&gt;&lt;record&gt;&lt;rec-number&gt;382&lt;/rec-number&gt;&lt;foreign-keys&gt;&lt;key app="EN" db-id="9pzez5pegvtpr3e5adz5f2vnsaw9d5pt5vvz"&gt;382&lt;/key&gt;&lt;/foreign-keys&gt;&lt;ref-type name="Report"&gt;27&lt;/ref-type&gt;&lt;contributors&gt;&lt;authors&gt;&lt;author&gt;IMF,&lt;/author&gt;&lt;/authors&gt;&lt;/contributors&gt;&lt;titles&gt;&lt;title&gt;Nigeria: Staff Report for the 2010 Article IV Consultation&lt;/title&gt;&lt;secondary-title&gt;IMF Country Report&lt;/secondary-title&gt;&lt;/titles&gt;&lt;volume&gt;11/57&lt;/volume&gt;&lt;dates&gt;&lt;year&gt;2011&lt;/year&gt;&lt;/dates&gt;&lt;pub-location&gt;Washington, D.C.&lt;/pub-location&gt;&lt;publisher&gt;International Monetary Fund&lt;/publisher&gt;&lt;urls&gt;&lt;/urls&gt;&lt;/record&gt;&lt;/Cite&gt;&lt;/EndNote&gt;</w:instrText>
      </w:r>
      <w:r w:rsidRPr="00A16735">
        <w:rPr>
          <w:rFonts w:cs="Times New Roman"/>
        </w:rPr>
        <w:fldChar w:fldCharType="separate"/>
      </w:r>
      <w:r w:rsidRPr="00A16735">
        <w:rPr>
          <w:rFonts w:cs="Times New Roman"/>
          <w:noProof/>
        </w:rPr>
        <w:t>(</w:t>
      </w:r>
      <w:hyperlink r:id="rId12" w:anchor="_ENREF_9" w:tooltip="IMF, 2011 #382" w:history="1">
        <w:r w:rsidRPr="00A16735">
          <w:rPr>
            <w:rStyle w:val="Hyperlink"/>
            <w:rFonts w:cs="Times New Roman"/>
            <w:noProof/>
            <w:color w:val="000000"/>
            <w:u w:val="none"/>
          </w:rPr>
          <w:t>IMF, 2011</w:t>
        </w:r>
      </w:hyperlink>
      <w:r w:rsidRPr="00A16735">
        <w:rPr>
          <w:rFonts w:cs="Times New Roman"/>
          <w:noProof/>
        </w:rPr>
        <w:t>)</w:t>
      </w:r>
      <w:r w:rsidRPr="00A16735">
        <w:rPr>
          <w:rFonts w:cs="Times New Roman"/>
        </w:rPr>
        <w:fldChar w:fldCharType="end"/>
      </w:r>
      <w:r w:rsidRPr="00A16735">
        <w:rPr>
          <w:rFonts w:cs="Times New Roman"/>
        </w:rPr>
        <w:t>.</w:t>
      </w:r>
    </w:p>
    <w:p w:rsidR="008A36BA" w:rsidRPr="00A16735" w:rsidRDefault="008A36BA" w:rsidP="00A16735">
      <w:pPr>
        <w:spacing w:line="360" w:lineRule="auto"/>
        <w:jc w:val="both"/>
        <w:rPr>
          <w:rFonts w:cs="Times New Roman"/>
        </w:rPr>
      </w:pPr>
      <w:r w:rsidRPr="00A16735">
        <w:rPr>
          <w:rFonts w:cs="Times New Roman"/>
        </w:rPr>
        <w:lastRenderedPageBreak/>
        <w:t>Rapid</w:t>
      </w:r>
      <w:r w:rsidR="00491FB8">
        <w:rPr>
          <w:rFonts w:cs="Times New Roman"/>
        </w:rPr>
        <w:t xml:space="preserve">ly growing credit to households - </w:t>
      </w:r>
      <w:r w:rsidRPr="00A16735">
        <w:rPr>
          <w:rFonts w:cs="Times New Roman"/>
        </w:rPr>
        <w:t>even though desirable when strengthening reasonable levels of domestic</w:t>
      </w:r>
      <w:r w:rsidR="00A112FE">
        <w:rPr>
          <w:rFonts w:cs="Times New Roman"/>
        </w:rPr>
        <w:t xml:space="preserve"> demand and financial inclusion</w:t>
      </w:r>
      <w:r w:rsidRPr="00A16735">
        <w:rPr>
          <w:rFonts w:cs="Times New Roman"/>
        </w:rPr>
        <w:t xml:space="preserve"> in </w:t>
      </w:r>
      <w:r w:rsidR="00491FB8">
        <w:rPr>
          <w:rFonts w:cs="Times New Roman"/>
        </w:rPr>
        <w:t xml:space="preserve">a sustainable way - </w:t>
      </w:r>
      <w:r w:rsidR="00B869A0" w:rsidRPr="00A16735">
        <w:rPr>
          <w:rFonts w:cs="Times New Roman"/>
        </w:rPr>
        <w:t xml:space="preserve">might </w:t>
      </w:r>
      <w:r w:rsidRPr="00A16735">
        <w:rPr>
          <w:rFonts w:cs="Times New Roman"/>
        </w:rPr>
        <w:t>cause financial instability if not regulat</w:t>
      </w:r>
      <w:r w:rsidR="00B869A0" w:rsidRPr="00A16735">
        <w:rPr>
          <w:rFonts w:cs="Times New Roman"/>
        </w:rPr>
        <w:t>ed prudently. This is also</w:t>
      </w:r>
      <w:r w:rsidRPr="00A16735">
        <w:rPr>
          <w:rFonts w:cs="Times New Roman"/>
        </w:rPr>
        <w:t xml:space="preserve"> the case if lending is excessively channelled into the construction sector, creating a housing bubble. The two most advanced African economies</w:t>
      </w:r>
      <w:r w:rsidR="00A112FE">
        <w:rPr>
          <w:rFonts w:cs="Times New Roman"/>
        </w:rPr>
        <w:t xml:space="preserve"> which are </w:t>
      </w:r>
      <w:r w:rsidR="00A112FE" w:rsidRPr="00A16735">
        <w:rPr>
          <w:rFonts w:cs="Times New Roman"/>
        </w:rPr>
        <w:t>both upper middle income countries</w:t>
      </w:r>
      <w:r w:rsidR="00A112FE">
        <w:rPr>
          <w:rFonts w:cs="Times New Roman"/>
        </w:rPr>
        <w:t xml:space="preserve"> - South Africa and Mauritius - </w:t>
      </w:r>
      <w:r w:rsidRPr="00A16735">
        <w:rPr>
          <w:rFonts w:cs="Times New Roman"/>
        </w:rPr>
        <w:t>have recently experienced or are currently experiencing a construction boom. Both economies possess relatively deep financial markets with strong private domestic lending</w:t>
      </w:r>
      <w:r w:rsidR="00A112FE">
        <w:rPr>
          <w:rFonts w:cs="Times New Roman"/>
        </w:rPr>
        <w:t>,</w:t>
      </w:r>
      <w:r w:rsidRPr="00A16735">
        <w:rPr>
          <w:rFonts w:cs="Times New Roman"/>
        </w:rPr>
        <w:t xml:space="preserve"> including significant consumption credit exte</w:t>
      </w:r>
      <w:r w:rsidR="0072545E" w:rsidRPr="00A16735">
        <w:rPr>
          <w:rFonts w:cs="Times New Roman"/>
        </w:rPr>
        <w:t>nsion. Figure 1</w:t>
      </w:r>
      <w:r w:rsidRPr="00A16735">
        <w:rPr>
          <w:rFonts w:cs="Times New Roman"/>
        </w:rPr>
        <w:t xml:space="preserve"> shows that private credit in high income economies was around 100% of GDP on average </w:t>
      </w:r>
      <w:r w:rsidR="00CE3E83" w:rsidRPr="00A16735">
        <w:rPr>
          <w:rFonts w:cs="Times New Roman"/>
        </w:rPr>
        <w:t>in 2010 while it accounted for 6</w:t>
      </w:r>
      <w:r w:rsidRPr="00A16735">
        <w:rPr>
          <w:rFonts w:cs="Times New Roman"/>
        </w:rPr>
        <w:t>0-80% of GDP in Mauritius and South Africa.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6"/>
      </w:tblGrid>
      <w:tr w:rsidR="008A36BA" w:rsidRPr="00A16735" w:rsidTr="00EF5204">
        <w:tc>
          <w:tcPr>
            <w:tcW w:w="9206" w:type="dxa"/>
          </w:tcPr>
          <w:p w:rsidR="008A36BA" w:rsidRPr="00A16735" w:rsidRDefault="008A36BA" w:rsidP="00A16735">
            <w:pPr>
              <w:spacing w:after="200" w:line="360" w:lineRule="auto"/>
              <w:jc w:val="both"/>
              <w:rPr>
                <w:rFonts w:asciiTheme="minorHAnsi" w:hAnsiTheme="minorHAnsi" w:cs="Times New Roman"/>
                <w:sz w:val="22"/>
                <w:szCs w:val="22"/>
              </w:rPr>
            </w:pPr>
            <w:r w:rsidRPr="00A16735">
              <w:rPr>
                <w:rFonts w:asciiTheme="minorHAnsi" w:hAnsiTheme="minorHAnsi" w:cs="Times New Roman"/>
                <w:sz w:val="22"/>
                <w:szCs w:val="22"/>
              </w:rPr>
              <w:t xml:space="preserve">Figure </w:t>
            </w:r>
            <w:r w:rsidR="0072545E" w:rsidRPr="00A16735">
              <w:rPr>
                <w:rFonts w:asciiTheme="minorHAnsi" w:hAnsiTheme="minorHAnsi" w:cs="Times New Roman"/>
                <w:sz w:val="22"/>
                <w:szCs w:val="22"/>
              </w:rPr>
              <w:t>1</w:t>
            </w:r>
            <w:r w:rsidRPr="00A16735">
              <w:rPr>
                <w:rFonts w:asciiTheme="minorHAnsi" w:hAnsiTheme="minorHAnsi" w:cs="Times New Roman"/>
                <w:sz w:val="22"/>
                <w:szCs w:val="22"/>
              </w:rPr>
              <w:t>. Private Credit Extension in African Middle Income Countries Compared to High Income Countries, 1990-2000</w:t>
            </w:r>
          </w:p>
        </w:tc>
      </w:tr>
      <w:tr w:rsidR="008A36BA" w:rsidRPr="00A16735" w:rsidTr="00EF5204">
        <w:tc>
          <w:tcPr>
            <w:tcW w:w="9206" w:type="dxa"/>
          </w:tcPr>
          <w:p w:rsidR="008A36BA" w:rsidRPr="00A16735" w:rsidRDefault="008A36BA" w:rsidP="00A16735">
            <w:pPr>
              <w:spacing w:after="200" w:line="360" w:lineRule="auto"/>
              <w:jc w:val="both"/>
              <w:rPr>
                <w:rFonts w:asciiTheme="minorHAnsi" w:hAnsiTheme="minorHAnsi" w:cs="Times New Roman"/>
                <w:sz w:val="22"/>
                <w:szCs w:val="22"/>
              </w:rPr>
            </w:pPr>
            <w:r w:rsidRPr="00A16735">
              <w:rPr>
                <w:rFonts w:cs="Times New Roman"/>
                <w:noProof/>
                <w:lang w:eastAsia="en-GB"/>
              </w:rPr>
              <w:drawing>
                <wp:anchor distT="0" distB="0" distL="114300" distR="114300" simplePos="0" relativeHeight="251659264" behindDoc="0" locked="0" layoutInCell="1" allowOverlap="1" wp14:anchorId="6019EE3F" wp14:editId="5DD5C931">
                  <wp:simplePos x="0" y="0"/>
                  <wp:positionH relativeFrom="column">
                    <wp:align>center</wp:align>
                  </wp:positionH>
                  <wp:positionV relativeFrom="paragraph">
                    <wp:posOffset>0</wp:posOffset>
                  </wp:positionV>
                  <wp:extent cx="4407535" cy="2693035"/>
                  <wp:effectExtent l="0" t="0" r="12065" b="0"/>
                  <wp:wrapSquare wrapText="bothSides"/>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7900" cy="2693389"/>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tc>
      </w:tr>
      <w:tr w:rsidR="008A36BA" w:rsidRPr="00A16735" w:rsidTr="00EF5204">
        <w:tc>
          <w:tcPr>
            <w:tcW w:w="9206" w:type="dxa"/>
          </w:tcPr>
          <w:p w:rsidR="008A36BA" w:rsidRPr="00A16735" w:rsidRDefault="008A36BA" w:rsidP="00A16735">
            <w:pPr>
              <w:spacing w:after="200" w:line="360" w:lineRule="auto"/>
              <w:jc w:val="both"/>
              <w:rPr>
                <w:rFonts w:asciiTheme="minorHAnsi" w:hAnsiTheme="minorHAnsi" w:cs="Times New Roman"/>
                <w:noProof/>
                <w:sz w:val="22"/>
                <w:szCs w:val="22"/>
                <w:lang w:val="de-DE"/>
              </w:rPr>
            </w:pPr>
            <w:r w:rsidRPr="00A16735">
              <w:rPr>
                <w:rFonts w:asciiTheme="minorHAnsi" w:hAnsiTheme="minorHAnsi" w:cs="Times New Roman"/>
                <w:i/>
                <w:noProof/>
                <w:sz w:val="22"/>
                <w:szCs w:val="22"/>
                <w:lang w:val="de-DE"/>
              </w:rPr>
              <w:t xml:space="preserve">                 </w:t>
            </w:r>
            <w:r w:rsidRPr="00A16735">
              <w:rPr>
                <w:rFonts w:asciiTheme="minorHAnsi" w:hAnsiTheme="minorHAnsi" w:cs="Times New Roman"/>
                <w:noProof/>
                <w:sz w:val="22"/>
                <w:szCs w:val="22"/>
                <w:lang w:val="de-DE"/>
              </w:rPr>
              <w:t xml:space="preserve">Source: </w:t>
            </w:r>
            <w:r w:rsidR="003C0101" w:rsidRPr="00A16735">
              <w:rPr>
                <w:rFonts w:asciiTheme="minorHAnsi" w:hAnsiTheme="minorHAnsi" w:cs="Times New Roman"/>
                <w:noProof/>
                <w:sz w:val="22"/>
                <w:szCs w:val="22"/>
                <w:lang w:val="de-DE"/>
              </w:rPr>
              <w:t xml:space="preserve">Griffith-Jones with Karwoski, op cit , based on </w:t>
            </w:r>
            <w:r w:rsidRPr="00A16735">
              <w:rPr>
                <w:rFonts w:asciiTheme="minorHAnsi" w:hAnsiTheme="minorHAnsi" w:cs="Times New Roman"/>
                <w:noProof/>
                <w:sz w:val="22"/>
                <w:szCs w:val="22"/>
                <w:lang w:val="de-DE"/>
              </w:rPr>
              <w:t>World Development Indicators, World DataBank, World Bank, 2013.</w:t>
            </w:r>
          </w:p>
        </w:tc>
      </w:tr>
    </w:tbl>
    <w:p w:rsidR="008A36BA" w:rsidRPr="00A16735" w:rsidRDefault="00BE4FD1" w:rsidP="00A16735">
      <w:pPr>
        <w:autoSpaceDE w:val="0"/>
        <w:autoSpaceDN w:val="0"/>
        <w:adjustRightInd w:val="0"/>
        <w:spacing w:line="360" w:lineRule="auto"/>
        <w:jc w:val="both"/>
        <w:rPr>
          <w:rFonts w:cs="Times New Roman"/>
        </w:rPr>
      </w:pPr>
      <w:r>
        <w:rPr>
          <w:rFonts w:cs="Times New Roman"/>
        </w:rPr>
        <w:t>Comparing it internationally</w:t>
      </w:r>
      <w:r w:rsidR="008A36BA" w:rsidRPr="00A16735">
        <w:rPr>
          <w:rFonts w:cs="Times New Roman"/>
        </w:rPr>
        <w:t>, South Africa was the cou</w:t>
      </w:r>
      <w:r w:rsidR="00CE3E83" w:rsidRPr="00A16735">
        <w:rPr>
          <w:rFonts w:cs="Times New Roman"/>
        </w:rPr>
        <w:t>ntry in Africa which experienced</w:t>
      </w:r>
      <w:r w:rsidR="008A36BA" w:rsidRPr="00A16735">
        <w:rPr>
          <w:rFonts w:cs="Times New Roman"/>
        </w:rPr>
        <w:t xml:space="preserve"> the strongest house real price gains between 2004 and 2</w:t>
      </w:r>
      <w:r w:rsidR="0072545E" w:rsidRPr="00A16735">
        <w:rPr>
          <w:rFonts w:cs="Times New Roman"/>
        </w:rPr>
        <w:t xml:space="preserve">007, by far exceeding even the </w:t>
      </w:r>
      <w:r w:rsidR="008A36BA" w:rsidRPr="00A16735">
        <w:rPr>
          <w:rFonts w:cs="Times New Roman"/>
        </w:rPr>
        <w:t xml:space="preserve">price growth in the booming residential property markets of the US and the UK (see </w:t>
      </w:r>
      <w:r w:rsidR="0072545E" w:rsidRPr="00A16735">
        <w:rPr>
          <w:rFonts w:cs="Times New Roman"/>
        </w:rPr>
        <w:t>Griffith-Jones with Karwoski, op cit</w:t>
      </w:r>
      <w:r>
        <w:rPr>
          <w:rFonts w:cs="Times New Roman"/>
        </w:rPr>
        <w:t>.</w:t>
      </w:r>
      <w:r w:rsidR="008A36BA" w:rsidRPr="00A16735">
        <w:rPr>
          <w:rFonts w:cs="Times New Roman"/>
        </w:rPr>
        <w:t>). In South Africa the ratio of household to business credit is approximately 1:1. The large majority of household borrowing takes on the form of mortgage finance. During the early 2000s this led to an unprecedented housing boom in South Africa fed by growth in housing loans of over 500% in real terms bet</w:t>
      </w:r>
      <w:r w:rsidR="0072545E" w:rsidRPr="00A16735">
        <w:rPr>
          <w:rFonts w:cs="Times New Roman"/>
        </w:rPr>
        <w:t>ween 2000 and 2010 (see Figure 2</w:t>
      </w:r>
      <w:r w:rsidR="008A36BA" w:rsidRPr="00A16735">
        <w:rPr>
          <w:rFonts w:cs="Times New Roman"/>
        </w:rPr>
        <w:t xml:space="preserve">). This was largely absorbed by upper income South African households accounting for three quarters of total household credit created (DTI, 2010). In an </w:t>
      </w:r>
      <w:r w:rsidR="008A36BA" w:rsidRPr="00A16735">
        <w:rPr>
          <w:rFonts w:cs="Times New Roman"/>
        </w:rPr>
        <w:lastRenderedPageBreak/>
        <w:t>attempt to reduce inflation, asset price increases and potential macro-economic over-heating</w:t>
      </w:r>
      <w:r>
        <w:rPr>
          <w:rFonts w:cs="Times New Roman"/>
        </w:rPr>
        <w:t>,</w:t>
      </w:r>
      <w:r w:rsidR="008A36BA" w:rsidRPr="00A16735">
        <w:rPr>
          <w:rFonts w:cs="Times New Roman"/>
        </w:rPr>
        <w:t xml:space="preserve"> the South African Reserve Bank gradually initi</w:t>
      </w:r>
      <w:r w:rsidR="00CE3E83" w:rsidRPr="00A16735">
        <w:rPr>
          <w:rFonts w:cs="Times New Roman"/>
        </w:rPr>
        <w:t>ated monetary tightening in 2006</w:t>
      </w:r>
      <w:r w:rsidR="008A36BA" w:rsidRPr="00A16735">
        <w:rPr>
          <w:rFonts w:cs="Times New Roman"/>
        </w:rPr>
        <w:t>.</w:t>
      </w:r>
    </w:p>
    <w:p w:rsidR="008A36BA" w:rsidRPr="00A16735" w:rsidRDefault="008A36BA" w:rsidP="00A16735">
      <w:pPr>
        <w:autoSpaceDE w:val="0"/>
        <w:autoSpaceDN w:val="0"/>
        <w:adjustRightInd w:val="0"/>
        <w:spacing w:line="360" w:lineRule="auto"/>
        <w:jc w:val="both"/>
        <w:rPr>
          <w:rFonts w:cs="Times New Roman"/>
        </w:rPr>
      </w:pPr>
      <w:r w:rsidRPr="00A16735">
        <w:rPr>
          <w:rFonts w:cs="Times New Roman"/>
        </w:rPr>
        <w:t>The subsequent economic slowdown in South Africa was to a large extent based on domestically accumulating economic and financial imbalances while the Global Financial Crisis merely intensifi</w:t>
      </w:r>
      <w:r w:rsidR="00CE3E83" w:rsidRPr="00A16735">
        <w:rPr>
          <w:rFonts w:cs="Times New Roman"/>
        </w:rPr>
        <w:t xml:space="preserve">ed the recession of 2008/09. </w:t>
      </w:r>
      <w:r w:rsidRPr="00A16735">
        <w:rPr>
          <w:rFonts w:cs="Times New Roman"/>
        </w:rPr>
        <w:t>A positive aspect was that there was no financial crisis,</w:t>
      </w:r>
      <w:r w:rsidR="00CE3E83" w:rsidRPr="00A16735">
        <w:rPr>
          <w:rFonts w:cs="Times New Roman"/>
        </w:rPr>
        <w:t xml:space="preserve"> perhaps because of the </w:t>
      </w:r>
      <w:r w:rsidRPr="00A16735">
        <w:rPr>
          <w:rFonts w:cs="Times New Roman"/>
        </w:rPr>
        <w:t>policy respons</w:t>
      </w:r>
      <w:r w:rsidR="00BE4FD1">
        <w:rPr>
          <w:rFonts w:cs="Times New Roman"/>
        </w:rPr>
        <w:t>e from the economic authorities. H</w:t>
      </w:r>
      <w:r w:rsidRPr="00A16735">
        <w:rPr>
          <w:rFonts w:cs="Times New Roman"/>
        </w:rPr>
        <w:t xml:space="preserve">owever, as </w:t>
      </w:r>
      <w:r w:rsidR="003C0101" w:rsidRPr="00A16735">
        <w:rPr>
          <w:rFonts w:cs="Times New Roman"/>
        </w:rPr>
        <w:t xml:space="preserve">and if </w:t>
      </w:r>
      <w:r w:rsidRPr="00A16735">
        <w:rPr>
          <w:rFonts w:cs="Times New Roman"/>
        </w:rPr>
        <w:t>mortgage credit picks up</w:t>
      </w:r>
      <w:r w:rsidR="003C0101" w:rsidRPr="00A16735">
        <w:rPr>
          <w:rFonts w:cs="Times New Roman"/>
        </w:rPr>
        <w:t xml:space="preserve"> in the future</w:t>
      </w:r>
      <w:r w:rsidRPr="00A16735">
        <w:rPr>
          <w:rFonts w:cs="Times New Roman"/>
        </w:rPr>
        <w:t>, and especially if it does at a very fast pace, care has to be taken to regulate this. The South African experience reiterates that private sector credit expansion at very high levels might lead to output volatility and adverse growth effects</w:t>
      </w:r>
      <w:r w:rsidR="00CE3E83" w:rsidRPr="00A16735">
        <w:rPr>
          <w:rFonts w:cs="Times New Roman"/>
        </w:rPr>
        <w:t>, as discussed in</w:t>
      </w:r>
      <w:r w:rsidR="0072545E" w:rsidRPr="00A16735">
        <w:rPr>
          <w:rFonts w:cs="Times New Roman"/>
        </w:rPr>
        <w:t xml:space="preserve"> the </w:t>
      </w:r>
      <w:r w:rsidR="00CE3E83" w:rsidRPr="00A16735">
        <w:rPr>
          <w:rFonts w:cs="Times New Roman"/>
        </w:rPr>
        <w:t>literature above.</w:t>
      </w:r>
      <w:r w:rsidRPr="00A16735">
        <w:rPr>
          <w:rFonts w:cs="Times New Roman"/>
        </w:rPr>
        <w:t xml:space="preserve"> In order to prevent future crisis and foster economic development a re-orientation towards more business credit, particularly for productive investment, might be needed.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8A36BA" w:rsidRPr="00A16735" w:rsidTr="00EF5204">
        <w:tc>
          <w:tcPr>
            <w:tcW w:w="9166" w:type="dxa"/>
          </w:tcPr>
          <w:p w:rsidR="008A36BA" w:rsidRPr="00A16735" w:rsidRDefault="0072545E" w:rsidP="00A16735">
            <w:pPr>
              <w:spacing w:after="200" w:line="360" w:lineRule="auto"/>
              <w:jc w:val="both"/>
              <w:rPr>
                <w:rFonts w:asciiTheme="minorHAnsi" w:hAnsiTheme="minorHAnsi" w:cs="Times New Roman"/>
                <w:sz w:val="22"/>
                <w:szCs w:val="22"/>
              </w:rPr>
            </w:pPr>
            <w:r w:rsidRPr="00A16735">
              <w:rPr>
                <w:rFonts w:asciiTheme="minorHAnsi" w:hAnsiTheme="minorHAnsi" w:cs="Times New Roman"/>
                <w:sz w:val="22"/>
                <w:szCs w:val="22"/>
              </w:rPr>
              <w:t>Figure 2</w:t>
            </w:r>
            <w:r w:rsidR="008A36BA" w:rsidRPr="00A16735">
              <w:rPr>
                <w:rFonts w:asciiTheme="minorHAnsi" w:hAnsiTheme="minorHAnsi" w:cs="Times New Roman"/>
                <w:sz w:val="22"/>
                <w:szCs w:val="22"/>
              </w:rPr>
              <w:t>. South African Private Sector Credit Extension by Purpose, 1990-2012</w:t>
            </w:r>
          </w:p>
        </w:tc>
      </w:tr>
      <w:tr w:rsidR="008A36BA" w:rsidRPr="00A16735" w:rsidTr="00EF5204">
        <w:tc>
          <w:tcPr>
            <w:tcW w:w="9166" w:type="dxa"/>
          </w:tcPr>
          <w:p w:rsidR="008A36BA" w:rsidRPr="00A16735" w:rsidRDefault="008A36BA" w:rsidP="00A16735">
            <w:pPr>
              <w:spacing w:after="200" w:line="360" w:lineRule="auto"/>
              <w:rPr>
                <w:rFonts w:asciiTheme="minorHAnsi" w:hAnsiTheme="minorHAnsi" w:cs="Times New Roman"/>
                <w:sz w:val="22"/>
                <w:szCs w:val="22"/>
              </w:rPr>
            </w:pPr>
          </w:p>
          <w:p w:rsidR="008A36BA" w:rsidRPr="00A16735" w:rsidRDefault="008A36BA" w:rsidP="00A16735">
            <w:pPr>
              <w:spacing w:after="200" w:line="360" w:lineRule="auto"/>
              <w:rPr>
                <w:rFonts w:asciiTheme="minorHAnsi" w:hAnsiTheme="minorHAnsi" w:cs="Times New Roman"/>
                <w:sz w:val="22"/>
                <w:szCs w:val="22"/>
              </w:rPr>
            </w:pPr>
          </w:p>
          <w:p w:rsidR="008A36BA" w:rsidRPr="00A16735" w:rsidRDefault="008A36BA" w:rsidP="00A16735">
            <w:pPr>
              <w:spacing w:after="200" w:line="360" w:lineRule="auto"/>
              <w:rPr>
                <w:rFonts w:asciiTheme="minorHAnsi" w:hAnsiTheme="minorHAnsi" w:cs="Times New Roman"/>
                <w:sz w:val="22"/>
                <w:szCs w:val="22"/>
              </w:rPr>
            </w:pPr>
            <w:r w:rsidRPr="00A16735">
              <w:rPr>
                <w:rFonts w:cs="Times New Roman"/>
                <w:noProof/>
                <w:lang w:eastAsia="en-GB"/>
              </w:rPr>
              <w:drawing>
                <wp:anchor distT="0" distB="0" distL="114300" distR="114300" simplePos="0" relativeHeight="251662336" behindDoc="0" locked="0" layoutInCell="1" allowOverlap="1" wp14:anchorId="6D9442A0" wp14:editId="6BCCEE8E">
                  <wp:simplePos x="0" y="0"/>
                  <wp:positionH relativeFrom="column">
                    <wp:posOffset>685800</wp:posOffset>
                  </wp:positionH>
                  <wp:positionV relativeFrom="paragraph">
                    <wp:posOffset>-718820</wp:posOffset>
                  </wp:positionV>
                  <wp:extent cx="4121785" cy="2804160"/>
                  <wp:effectExtent l="0" t="0" r="0" b="0"/>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1785" cy="28041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tc>
      </w:tr>
    </w:tbl>
    <w:p w:rsidR="008A36BA" w:rsidRPr="00A16735" w:rsidRDefault="008A36BA" w:rsidP="00A16735">
      <w:pPr>
        <w:spacing w:line="360" w:lineRule="auto"/>
        <w:jc w:val="both"/>
        <w:rPr>
          <w:rFonts w:cs="Times New Roman"/>
        </w:rPr>
      </w:pPr>
      <w:r w:rsidRPr="00A16735">
        <w:rPr>
          <w:rFonts w:cs="Times New Roman"/>
        </w:rPr>
        <w:t xml:space="preserve">                   Source: </w:t>
      </w:r>
      <w:r w:rsidR="0072545E" w:rsidRPr="00A16735">
        <w:rPr>
          <w:rFonts w:cs="Times New Roman"/>
        </w:rPr>
        <w:t>Griffith-Jones with Karwoski,</w:t>
      </w:r>
      <w:r w:rsidR="005B3F38">
        <w:rPr>
          <w:rFonts w:cs="Times New Roman"/>
        </w:rPr>
        <w:t xml:space="preserve"> 2013,</w:t>
      </w:r>
      <w:r w:rsidR="0072545E" w:rsidRPr="00A16735">
        <w:rPr>
          <w:rFonts w:cs="Times New Roman"/>
        </w:rPr>
        <w:t xml:space="preserve"> based on </w:t>
      </w:r>
      <w:r w:rsidRPr="00A16735">
        <w:rPr>
          <w:rFonts w:cs="Times New Roman"/>
        </w:rPr>
        <w:t>SARB, 2013.</w:t>
      </w:r>
    </w:p>
    <w:p w:rsidR="008A36BA" w:rsidRPr="00A16735" w:rsidRDefault="008A36BA" w:rsidP="00A16735">
      <w:pPr>
        <w:spacing w:line="360" w:lineRule="auto"/>
        <w:jc w:val="both"/>
        <w:rPr>
          <w:rFonts w:cs="Times New Roman"/>
        </w:rPr>
      </w:pPr>
      <w:r w:rsidRPr="00A16735">
        <w:rPr>
          <w:rFonts w:cs="Times New Roman"/>
        </w:rPr>
        <w:t>In Mauritius</w:t>
      </w:r>
      <w:r w:rsidR="005B3F38">
        <w:rPr>
          <w:rFonts w:cs="Times New Roman"/>
        </w:rPr>
        <w:t>,</w:t>
      </w:r>
      <w:r w:rsidRPr="00A16735">
        <w:rPr>
          <w:rFonts w:cs="Times New Roman"/>
        </w:rPr>
        <w:t xml:space="preserve"> almost one third of private sector credit flows to households,</w:t>
      </w:r>
      <w:r w:rsidR="003C0101" w:rsidRPr="00A16735">
        <w:rPr>
          <w:rFonts w:cs="Times New Roman"/>
        </w:rPr>
        <w:t xml:space="preserve"> </w:t>
      </w:r>
      <w:r w:rsidRPr="00A16735">
        <w:rPr>
          <w:rFonts w:cs="Times New Roman"/>
        </w:rPr>
        <w:t>equalling 20% of GDP by late 2012. The majority of household borrowing is mortgage finance (60% of total household credit) with the rest used to fund consumption (40%). Given sustained demand for residential property</w:t>
      </w:r>
      <w:r w:rsidR="00E747D6">
        <w:rPr>
          <w:rFonts w:cs="Times New Roman"/>
        </w:rPr>
        <w:t>,</w:t>
      </w:r>
      <w:r w:rsidRPr="00A16735">
        <w:rPr>
          <w:rFonts w:cs="Times New Roman"/>
        </w:rPr>
        <w:t xml:space="preserve"> housing credit has been growing close to 20% annually on average over the past 5 years (Bank of Mauritius, 2012). Simultaneously, foreign direct investment (FDI) flows into the country concentrate on real estate activities</w:t>
      </w:r>
      <w:r w:rsidR="00442631">
        <w:rPr>
          <w:rFonts w:cs="Times New Roman"/>
        </w:rPr>
        <w:t>,</w:t>
      </w:r>
      <w:r w:rsidRPr="00A16735">
        <w:rPr>
          <w:rFonts w:cs="Times New Roman"/>
        </w:rPr>
        <w:t xml:space="preserve"> with the bulk in tourist resorts, real estate and invest hotels schemes. The construction industry accounted for approximately half of FDI inflows in recent years (2008-2012). Mauritius’s construction boom should be monitored with caution, which has also been pointed out </w:t>
      </w:r>
      <w:r w:rsidRPr="00A16735">
        <w:rPr>
          <w:rFonts w:cs="Times New Roman"/>
        </w:rPr>
        <w:lastRenderedPageBreak/>
        <w:t>by the IMF Article IV Mission Consultation. Financial vulnerabilities appear to be accumulating in the industry with potential adverse impact</w:t>
      </w:r>
      <w:r w:rsidR="00442631">
        <w:rPr>
          <w:rFonts w:cs="Times New Roman"/>
        </w:rPr>
        <w:t>s</w:t>
      </w:r>
      <w:r w:rsidRPr="00A16735">
        <w:rPr>
          <w:rFonts w:cs="Times New Roman"/>
        </w:rPr>
        <w:t xml:space="preserve"> on balance sheets of domestic commercial banks. Even though non-performing loans as share of total credi</w:t>
      </w:r>
      <w:r w:rsidR="00442631">
        <w:rPr>
          <w:rFonts w:cs="Times New Roman"/>
        </w:rPr>
        <w:t>t are at reasonably low levels (</w:t>
      </w:r>
      <w:r w:rsidRPr="00A16735">
        <w:rPr>
          <w:rFonts w:cs="Times New Roman"/>
        </w:rPr>
        <w:t>they have increased from 2.1</w:t>
      </w:r>
      <w:r w:rsidR="00442631">
        <w:rPr>
          <w:rFonts w:cs="Times New Roman"/>
        </w:rPr>
        <w:t>% to 3.1% between 2010 and 2012),</w:t>
      </w:r>
      <w:r w:rsidRPr="00A16735">
        <w:rPr>
          <w:rFonts w:cs="Times New Roman"/>
        </w:rPr>
        <w:t xml:space="preserve"> non-performing loans in the construction industry (excluding housing loans) as share of sectorial credit are more than twice as high, rising from a</w:t>
      </w:r>
      <w:r w:rsidR="006F621E" w:rsidRPr="00A16735">
        <w:rPr>
          <w:rFonts w:cs="Times New Roman"/>
        </w:rPr>
        <w:t>round 5% in 2010 to 8% in 2012</w:t>
      </w:r>
      <w:r w:rsidRPr="00A16735">
        <w:rPr>
          <w:rFonts w:cs="Times New Roman"/>
        </w:rPr>
        <w:t xml:space="preserve">. </w:t>
      </w:r>
      <w:r w:rsidR="006F621E" w:rsidRPr="00A16735">
        <w:rPr>
          <w:rFonts w:cs="Times New Roman"/>
        </w:rPr>
        <w:t>Year-on-year g</w:t>
      </w:r>
      <w:r w:rsidR="00A81F26">
        <w:rPr>
          <w:rFonts w:cs="Times New Roman"/>
        </w:rPr>
        <w:t>rowth in construction credit</w:t>
      </w:r>
      <w:r w:rsidR="006F621E" w:rsidRPr="00A16735">
        <w:rPr>
          <w:rFonts w:cs="Times New Roman"/>
        </w:rPr>
        <w:t xml:space="preserve"> shot up sharply during 2012, exceeding 35% by September 2013 (see figure 3).These trends seem worrying and imply the economic authorities may need to consider </w:t>
      </w:r>
      <w:r w:rsidRPr="00A16735">
        <w:rPr>
          <w:rFonts w:cs="Times New Roman"/>
        </w:rPr>
        <w:t>counter-cyclical r</w:t>
      </w:r>
      <w:r w:rsidR="005C61CF" w:rsidRPr="00A16735">
        <w:rPr>
          <w:rFonts w:cs="Times New Roman"/>
        </w:rPr>
        <w:t>egulation</w:t>
      </w:r>
      <w:r w:rsidR="00B869A0" w:rsidRPr="00A16735">
        <w:rPr>
          <w:rFonts w:cs="Times New Roman"/>
        </w:rPr>
        <w:t xml:space="preserve">, possibly </w:t>
      </w:r>
      <w:r w:rsidR="006F621E" w:rsidRPr="00A16735">
        <w:rPr>
          <w:rFonts w:cs="Times New Roman"/>
        </w:rPr>
        <w:t>focussed in lending to construction.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8A36BA" w:rsidRPr="00A16735" w:rsidTr="00EF5204">
        <w:tc>
          <w:tcPr>
            <w:tcW w:w="9166" w:type="dxa"/>
          </w:tcPr>
          <w:p w:rsidR="008A36BA" w:rsidRPr="00A16735" w:rsidRDefault="006F621E" w:rsidP="00A16735">
            <w:pPr>
              <w:spacing w:after="200" w:line="360" w:lineRule="auto"/>
              <w:jc w:val="both"/>
              <w:rPr>
                <w:rFonts w:asciiTheme="minorHAnsi" w:hAnsiTheme="minorHAnsi" w:cs="Times New Roman"/>
                <w:sz w:val="22"/>
                <w:szCs w:val="22"/>
              </w:rPr>
            </w:pPr>
            <w:r w:rsidRPr="00A16735">
              <w:rPr>
                <w:rFonts w:asciiTheme="minorHAnsi" w:hAnsiTheme="minorHAnsi" w:cs="Times New Roman"/>
                <w:sz w:val="22"/>
                <w:szCs w:val="22"/>
              </w:rPr>
              <w:t>Figure 3</w:t>
            </w:r>
            <w:r w:rsidR="008A36BA" w:rsidRPr="00A16735">
              <w:rPr>
                <w:rFonts w:asciiTheme="minorHAnsi" w:hAnsiTheme="minorHAnsi" w:cs="Times New Roman"/>
                <w:sz w:val="22"/>
                <w:szCs w:val="22"/>
              </w:rPr>
              <w:t>. Construction Sector Credit in Mauritius</w:t>
            </w:r>
          </w:p>
        </w:tc>
      </w:tr>
      <w:tr w:rsidR="008A36BA" w:rsidRPr="00A16735" w:rsidTr="00EF5204">
        <w:tc>
          <w:tcPr>
            <w:tcW w:w="9166" w:type="dxa"/>
          </w:tcPr>
          <w:p w:rsidR="008A36BA" w:rsidRPr="00A16735" w:rsidRDefault="008A36BA" w:rsidP="00A16735">
            <w:pPr>
              <w:spacing w:after="200" w:line="360" w:lineRule="auto"/>
              <w:jc w:val="both"/>
              <w:rPr>
                <w:rFonts w:asciiTheme="minorHAnsi" w:hAnsiTheme="minorHAnsi" w:cs="Times New Roman"/>
                <w:sz w:val="22"/>
                <w:szCs w:val="22"/>
              </w:rPr>
            </w:pPr>
            <w:r w:rsidRPr="00A16735">
              <w:rPr>
                <w:rFonts w:cs="Times New Roman"/>
                <w:noProof/>
                <w:lang w:eastAsia="en-GB"/>
              </w:rPr>
              <w:drawing>
                <wp:anchor distT="0" distB="0" distL="114300" distR="114300" simplePos="0" relativeHeight="251661312" behindDoc="0" locked="0" layoutInCell="1" allowOverlap="1" wp14:anchorId="2FE8B626" wp14:editId="0DA08D53">
                  <wp:simplePos x="0" y="0"/>
                  <wp:positionH relativeFrom="column">
                    <wp:align>center</wp:align>
                  </wp:positionH>
                  <wp:positionV relativeFrom="paragraph">
                    <wp:posOffset>19685</wp:posOffset>
                  </wp:positionV>
                  <wp:extent cx="4694555" cy="2868295"/>
                  <wp:effectExtent l="0" t="0" r="4445" b="1905"/>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4555" cy="28682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tc>
      </w:tr>
      <w:tr w:rsidR="008A36BA" w:rsidRPr="00A16735" w:rsidTr="00EF5204">
        <w:tc>
          <w:tcPr>
            <w:tcW w:w="9166" w:type="dxa"/>
          </w:tcPr>
          <w:p w:rsidR="008A36BA" w:rsidRPr="00A16735" w:rsidRDefault="008A36BA" w:rsidP="00A16735">
            <w:pPr>
              <w:spacing w:after="200" w:line="360" w:lineRule="auto"/>
              <w:jc w:val="both"/>
              <w:rPr>
                <w:rFonts w:asciiTheme="minorHAnsi" w:hAnsiTheme="minorHAnsi" w:cs="Times New Roman"/>
                <w:sz w:val="22"/>
                <w:szCs w:val="22"/>
              </w:rPr>
            </w:pPr>
            <w:r w:rsidRPr="00A16735">
              <w:rPr>
                <w:rFonts w:asciiTheme="minorHAnsi" w:hAnsiTheme="minorHAnsi" w:cs="Times New Roman"/>
                <w:sz w:val="22"/>
                <w:szCs w:val="22"/>
              </w:rPr>
              <w:t xml:space="preserve">          Source: Bank of Mauritius, 2012. </w:t>
            </w:r>
          </w:p>
        </w:tc>
      </w:tr>
    </w:tbl>
    <w:p w:rsidR="008A36BA" w:rsidRPr="00A16735" w:rsidRDefault="008A36BA" w:rsidP="00A16735">
      <w:pPr>
        <w:spacing w:line="360" w:lineRule="auto"/>
        <w:jc w:val="both"/>
        <w:rPr>
          <w:rFonts w:cs="Times New Roman"/>
        </w:rPr>
      </w:pPr>
      <w:r w:rsidRPr="00A16735">
        <w:rPr>
          <w:rFonts w:cs="Times New Roman"/>
        </w:rPr>
        <w:t xml:space="preserve">Limited data availability makes it difficult to measure to what extent consumption credit is on the rise in other African economies. This would seem to </w:t>
      </w:r>
      <w:r w:rsidR="00214B76" w:rsidRPr="00A16735">
        <w:rPr>
          <w:rFonts w:cs="Times New Roman"/>
        </w:rPr>
        <w:t>more urgent</w:t>
      </w:r>
      <w:r w:rsidR="00214B76">
        <w:rPr>
          <w:rFonts w:cs="Times New Roman"/>
        </w:rPr>
        <w:t>ly</w:t>
      </w:r>
      <w:r w:rsidR="00214B76" w:rsidRPr="00A16735">
        <w:rPr>
          <w:rFonts w:cs="Times New Roman"/>
        </w:rPr>
        <w:t xml:space="preserve"> </w:t>
      </w:r>
      <w:r w:rsidRPr="00A16735">
        <w:rPr>
          <w:rFonts w:cs="Times New Roman"/>
        </w:rPr>
        <w:t>make the case</w:t>
      </w:r>
      <w:r w:rsidR="00214B76">
        <w:rPr>
          <w:rFonts w:cs="Times New Roman"/>
        </w:rPr>
        <w:t xml:space="preserve"> </w:t>
      </w:r>
      <w:r w:rsidRPr="00A16735">
        <w:rPr>
          <w:rFonts w:cs="Times New Roman"/>
        </w:rPr>
        <w:t>for</w:t>
      </w:r>
      <w:r w:rsidR="00214B76">
        <w:rPr>
          <w:rFonts w:cs="Times New Roman"/>
        </w:rPr>
        <w:t xml:space="preserve"> more disaggregated credit data</w:t>
      </w:r>
      <w:r w:rsidRPr="00A16735">
        <w:rPr>
          <w:rFonts w:cs="Times New Roman"/>
        </w:rPr>
        <w:t xml:space="preserve"> as well as monitoring by regulators </w:t>
      </w:r>
      <w:r w:rsidR="00214B76">
        <w:rPr>
          <w:rFonts w:cs="Times New Roman"/>
        </w:rPr>
        <w:t>and</w:t>
      </w:r>
      <w:r w:rsidRPr="00A16735">
        <w:rPr>
          <w:rFonts w:cs="Times New Roman"/>
        </w:rPr>
        <w:t xml:space="preserve"> policy-</w:t>
      </w:r>
      <w:r w:rsidR="00214B76">
        <w:rPr>
          <w:rFonts w:cs="Times New Roman"/>
        </w:rPr>
        <w:t>makers</w:t>
      </w:r>
      <w:r w:rsidRPr="00A16735">
        <w:rPr>
          <w:rFonts w:cs="Times New Roman"/>
        </w:rPr>
        <w:t xml:space="preserve">. </w:t>
      </w:r>
      <w:r w:rsidR="006F621E" w:rsidRPr="00A16735">
        <w:rPr>
          <w:rFonts w:cs="Times New Roman"/>
        </w:rPr>
        <w:t xml:space="preserve"> </w:t>
      </w:r>
      <w:r w:rsidRPr="00A16735">
        <w:rPr>
          <w:rFonts w:cs="Times New Roman"/>
        </w:rPr>
        <w:t>One of the few low income SSA countries providing disaggregated domestic lending data is Mozambique (Banco de Moçambique, 2013). Private sector credit has increased significantly between 2000 and 2010 in the Southern African country fro</w:t>
      </w:r>
      <w:r w:rsidR="006F621E" w:rsidRPr="00A16735">
        <w:rPr>
          <w:rFonts w:cs="Times New Roman"/>
        </w:rPr>
        <w:t>m 15% to 23% of GDP (World Bank data</w:t>
      </w:r>
      <w:r w:rsidRPr="00A16735">
        <w:rPr>
          <w:rFonts w:cs="Times New Roman"/>
        </w:rPr>
        <w:t>). During this period consumer borrowing almost tripled as share of total credit</w:t>
      </w:r>
      <w:r w:rsidR="00214B76">
        <w:rPr>
          <w:rFonts w:cs="Times New Roman"/>
        </w:rPr>
        <w:t>,</w:t>
      </w:r>
      <w:r w:rsidRPr="00A16735">
        <w:rPr>
          <w:rFonts w:cs="Times New Roman"/>
        </w:rPr>
        <w:t xml:space="preserve"> while it grew almost eightfold between 2001 and 2012 in real terms (see figure</w:t>
      </w:r>
      <w:r w:rsidR="003C0101" w:rsidRPr="00A16735">
        <w:rPr>
          <w:rFonts w:cs="Times New Roman"/>
        </w:rPr>
        <w:t xml:space="preserve"> 4</w:t>
      </w:r>
      <w:r w:rsidRPr="00A16735">
        <w:rPr>
          <w:rFonts w:cs="Times New Roman"/>
        </w:rPr>
        <w:t>). Mozambique has had a strong growth performance implying a robust medium</w:t>
      </w:r>
      <w:r w:rsidR="003C0101" w:rsidRPr="00A16735">
        <w:rPr>
          <w:rFonts w:cs="Times New Roman"/>
        </w:rPr>
        <w:t xml:space="preserve">-term economic outlook according to </w:t>
      </w:r>
      <w:r w:rsidR="00214B76">
        <w:rPr>
          <w:rFonts w:cs="Times New Roman"/>
        </w:rPr>
        <w:t xml:space="preserve">the </w:t>
      </w:r>
      <w:r w:rsidR="00A83962" w:rsidRPr="00A83962">
        <w:rPr>
          <w:rFonts w:cs="Times New Roman"/>
        </w:rPr>
        <w:t>IMF</w:t>
      </w:r>
      <w:r w:rsidR="003C0101" w:rsidRPr="00A83962">
        <w:rPr>
          <w:rFonts w:cs="Times New Roman"/>
        </w:rPr>
        <w:t>.</w:t>
      </w:r>
      <w:r w:rsidR="003C0101" w:rsidRPr="00A16735">
        <w:rPr>
          <w:rFonts w:cs="Times New Roman"/>
        </w:rPr>
        <w:t xml:space="preserve"> It seems important that financial regulators</w:t>
      </w:r>
      <w:r w:rsidR="00214B76">
        <w:rPr>
          <w:rFonts w:cs="Times New Roman"/>
        </w:rPr>
        <w:t xml:space="preserve"> consider the need for tighter </w:t>
      </w:r>
      <w:r w:rsidR="003C0101" w:rsidRPr="00A16735">
        <w:rPr>
          <w:rFonts w:cs="Times New Roman"/>
        </w:rPr>
        <w:t>regulation of consumer credit to avoid a</w:t>
      </w:r>
      <w:r w:rsidR="00A16735">
        <w:rPr>
          <w:rFonts w:cs="Times New Roman"/>
        </w:rPr>
        <w:t>ny risks to financial stability.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6"/>
      </w:tblGrid>
      <w:tr w:rsidR="008A36BA" w:rsidRPr="00A16735" w:rsidTr="00EF5204">
        <w:tc>
          <w:tcPr>
            <w:tcW w:w="9206" w:type="dxa"/>
          </w:tcPr>
          <w:p w:rsidR="008A36BA" w:rsidRPr="00A16735" w:rsidRDefault="008A36BA" w:rsidP="00A16735">
            <w:pPr>
              <w:spacing w:after="200" w:line="360" w:lineRule="auto"/>
              <w:jc w:val="both"/>
              <w:rPr>
                <w:rFonts w:asciiTheme="minorHAnsi" w:hAnsiTheme="minorHAnsi" w:cs="Times New Roman"/>
                <w:sz w:val="22"/>
                <w:szCs w:val="22"/>
              </w:rPr>
            </w:pPr>
            <w:r w:rsidRPr="00A16735">
              <w:rPr>
                <w:rFonts w:asciiTheme="minorHAnsi" w:hAnsiTheme="minorHAnsi" w:cs="Times New Roman"/>
                <w:sz w:val="22"/>
                <w:szCs w:val="22"/>
              </w:rPr>
              <w:lastRenderedPageBreak/>
              <w:t xml:space="preserve">Figure </w:t>
            </w:r>
            <w:r w:rsidR="006F621E" w:rsidRPr="00A16735">
              <w:rPr>
                <w:rFonts w:asciiTheme="minorHAnsi" w:hAnsiTheme="minorHAnsi" w:cs="Times New Roman"/>
                <w:sz w:val="22"/>
                <w:szCs w:val="22"/>
              </w:rPr>
              <w:t>4</w:t>
            </w:r>
            <w:r w:rsidRPr="00A16735">
              <w:rPr>
                <w:rFonts w:asciiTheme="minorHAnsi" w:hAnsiTheme="minorHAnsi" w:cs="Times New Roman"/>
                <w:sz w:val="22"/>
                <w:szCs w:val="22"/>
              </w:rPr>
              <w:t>. Mozambican Consumer Credit in Real Terms and as Share of Total Private Sector Credit, 2001-2012</w:t>
            </w:r>
          </w:p>
        </w:tc>
      </w:tr>
      <w:tr w:rsidR="008A36BA" w:rsidRPr="00A16735" w:rsidTr="00EF5204">
        <w:tc>
          <w:tcPr>
            <w:tcW w:w="9206" w:type="dxa"/>
          </w:tcPr>
          <w:p w:rsidR="008A36BA" w:rsidRPr="00A16735" w:rsidRDefault="008A36BA" w:rsidP="00A16735">
            <w:pPr>
              <w:spacing w:after="200" w:line="360" w:lineRule="auto"/>
              <w:jc w:val="both"/>
              <w:rPr>
                <w:rFonts w:asciiTheme="minorHAnsi" w:hAnsiTheme="minorHAnsi" w:cs="Times New Roman"/>
                <w:sz w:val="22"/>
                <w:szCs w:val="22"/>
              </w:rPr>
            </w:pPr>
            <w:r w:rsidRPr="00A16735">
              <w:rPr>
                <w:rFonts w:cs="Times New Roman"/>
                <w:noProof/>
                <w:lang w:eastAsia="en-GB"/>
              </w:rPr>
              <w:drawing>
                <wp:anchor distT="0" distB="0" distL="114300" distR="114300" simplePos="0" relativeHeight="251663360" behindDoc="0" locked="0" layoutInCell="1" allowOverlap="1" wp14:anchorId="635A617F" wp14:editId="1D5B35C2">
                  <wp:simplePos x="0" y="0"/>
                  <wp:positionH relativeFrom="column">
                    <wp:align>center</wp:align>
                  </wp:positionH>
                  <wp:positionV relativeFrom="paragraph">
                    <wp:posOffset>0</wp:posOffset>
                  </wp:positionV>
                  <wp:extent cx="4419600" cy="2700655"/>
                  <wp:effectExtent l="0" t="0" r="0" b="0"/>
                  <wp:wrapSquare wrapText="bothSides"/>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0852" cy="270143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tc>
      </w:tr>
      <w:tr w:rsidR="008A36BA" w:rsidRPr="00A16735" w:rsidTr="00EF5204">
        <w:tc>
          <w:tcPr>
            <w:tcW w:w="9206" w:type="dxa"/>
          </w:tcPr>
          <w:p w:rsidR="008A36BA" w:rsidRPr="00A16735" w:rsidRDefault="008A36BA" w:rsidP="00A16735">
            <w:pPr>
              <w:spacing w:after="200" w:line="360" w:lineRule="auto"/>
              <w:jc w:val="both"/>
              <w:rPr>
                <w:rFonts w:asciiTheme="minorHAnsi" w:hAnsiTheme="minorHAnsi" w:cs="Times New Roman"/>
                <w:noProof/>
                <w:sz w:val="22"/>
                <w:szCs w:val="22"/>
                <w:lang w:val="de-DE"/>
              </w:rPr>
            </w:pPr>
            <w:r w:rsidRPr="00A16735">
              <w:rPr>
                <w:rFonts w:asciiTheme="minorHAnsi" w:hAnsiTheme="minorHAnsi" w:cs="Times New Roman"/>
                <w:noProof/>
                <w:sz w:val="22"/>
                <w:szCs w:val="22"/>
                <w:lang w:val="de-DE"/>
              </w:rPr>
              <w:t xml:space="preserve">             Source: </w:t>
            </w:r>
            <w:proofErr w:type="spellStart"/>
            <w:r w:rsidR="00476A9F">
              <w:rPr>
                <w:rFonts w:asciiTheme="minorHAnsi" w:hAnsiTheme="minorHAnsi" w:cs="Times New Roman"/>
                <w:sz w:val="22"/>
                <w:szCs w:val="22"/>
              </w:rPr>
              <w:t>Banco</w:t>
            </w:r>
            <w:bookmarkStart w:id="0" w:name="_GoBack"/>
            <w:bookmarkEnd w:id="0"/>
            <w:proofErr w:type="spellEnd"/>
            <w:r w:rsidR="00476A9F">
              <w:rPr>
                <w:rFonts w:asciiTheme="minorHAnsi" w:hAnsiTheme="minorHAnsi" w:cs="Times New Roman"/>
                <w:sz w:val="22"/>
                <w:szCs w:val="22"/>
              </w:rPr>
              <w:t xml:space="preserve"> de </w:t>
            </w:r>
            <w:proofErr w:type="spellStart"/>
            <w:r w:rsidR="00476A9F">
              <w:rPr>
                <w:rFonts w:asciiTheme="minorHAnsi" w:hAnsiTheme="minorHAnsi" w:cs="Times New Roman"/>
                <w:sz w:val="22"/>
                <w:szCs w:val="22"/>
              </w:rPr>
              <w:t>Moçambique</w:t>
            </w:r>
            <w:proofErr w:type="spellEnd"/>
            <w:r w:rsidR="00476A9F">
              <w:rPr>
                <w:rFonts w:asciiTheme="minorHAnsi" w:hAnsiTheme="minorHAnsi" w:cs="Times New Roman"/>
                <w:sz w:val="22"/>
                <w:szCs w:val="22"/>
              </w:rPr>
              <w:t>, 2013.</w:t>
            </w:r>
          </w:p>
        </w:tc>
      </w:tr>
    </w:tbl>
    <w:p w:rsidR="00273BB1" w:rsidRPr="00A16735" w:rsidRDefault="00273BB1" w:rsidP="00A16735">
      <w:pPr>
        <w:spacing w:line="360" w:lineRule="auto"/>
        <w:jc w:val="both"/>
        <w:rPr>
          <w:rFonts w:cs="Times New Roman"/>
        </w:rPr>
      </w:pPr>
      <w:r w:rsidRPr="00A16735">
        <w:rPr>
          <w:rFonts w:cs="Times New Roman"/>
        </w:rPr>
        <w:t xml:space="preserve">As regards the structure of financial systems in low income countries, </w:t>
      </w:r>
      <w:r w:rsidR="0042301D" w:rsidRPr="00A16735">
        <w:rPr>
          <w:rFonts w:cs="Times New Roman"/>
        </w:rPr>
        <w:t>a number of issues arise, including the balance between</w:t>
      </w:r>
      <w:r w:rsidR="00476A9F">
        <w:rPr>
          <w:rFonts w:cs="Times New Roman"/>
        </w:rPr>
        <w:t xml:space="preserve"> consumer and enterprise credit</w:t>
      </w:r>
      <w:r w:rsidR="0042301D" w:rsidRPr="00A16735">
        <w:rPr>
          <w:rFonts w:cs="Times New Roman"/>
        </w:rPr>
        <w:t xml:space="preserve"> </w:t>
      </w:r>
      <w:r w:rsidR="00476A9F">
        <w:rPr>
          <w:rFonts w:cs="Times New Roman"/>
        </w:rPr>
        <w:t>(partly discussed above)</w:t>
      </w:r>
      <w:r w:rsidR="00AE7F87" w:rsidRPr="00A16735">
        <w:rPr>
          <w:rFonts w:cs="Times New Roman"/>
        </w:rPr>
        <w:t xml:space="preserve"> </w:t>
      </w:r>
      <w:r w:rsidR="0042301D" w:rsidRPr="00A16735">
        <w:rPr>
          <w:rFonts w:cs="Times New Roman"/>
        </w:rPr>
        <w:t>as well as</w:t>
      </w:r>
      <w:r w:rsidR="00476A9F">
        <w:rPr>
          <w:rFonts w:cs="Times New Roman"/>
        </w:rPr>
        <w:t xml:space="preserve"> the</w:t>
      </w:r>
      <w:r w:rsidR="0042301D" w:rsidRPr="00A16735">
        <w:rPr>
          <w:rFonts w:cs="Times New Roman"/>
        </w:rPr>
        <w:t xml:space="preserve"> proportion between national and foreign bank</w:t>
      </w:r>
      <w:r w:rsidR="00AE7F87" w:rsidRPr="00A16735">
        <w:rPr>
          <w:rFonts w:cs="Times New Roman"/>
        </w:rPr>
        <w:t xml:space="preserve">s. Here we want to focus on </w:t>
      </w:r>
      <w:r w:rsidR="0042301D" w:rsidRPr="00A16735">
        <w:rPr>
          <w:rFonts w:cs="Times New Roman"/>
        </w:rPr>
        <w:t>two</w:t>
      </w:r>
      <w:r w:rsidR="00B869A0" w:rsidRPr="00A16735">
        <w:rPr>
          <w:rFonts w:cs="Times New Roman"/>
        </w:rPr>
        <w:t xml:space="preserve"> others</w:t>
      </w:r>
      <w:r w:rsidR="0042301D" w:rsidRPr="00A16735">
        <w:rPr>
          <w:rFonts w:cs="Times New Roman"/>
        </w:rPr>
        <w:t xml:space="preserve">. First,  </w:t>
      </w:r>
      <w:r w:rsidRPr="00A16735">
        <w:rPr>
          <w:rFonts w:cs="Times New Roman"/>
        </w:rPr>
        <w:t>should specialized lending institutions, like leasing or factoring companies, as well as low-end financial institutions, such as cooperatives, credit unions and microfina</w:t>
      </w:r>
      <w:r w:rsidR="00BA381F">
        <w:rPr>
          <w:rFonts w:cs="Times New Roman"/>
        </w:rPr>
        <w:t>nce be promoted, as suggested by</w:t>
      </w:r>
      <w:r w:rsidRPr="00A16735">
        <w:rPr>
          <w:rFonts w:cs="Times New Roman"/>
        </w:rPr>
        <w:t xml:space="preserve"> </w:t>
      </w:r>
      <w:r w:rsidR="00BA381F">
        <w:rPr>
          <w:rFonts w:cs="Times New Roman"/>
        </w:rPr>
        <w:t xml:space="preserve">Beck, </w:t>
      </w:r>
      <w:proofErr w:type="spellStart"/>
      <w:r w:rsidR="00BA381F">
        <w:rPr>
          <w:rFonts w:cs="Times New Roman"/>
        </w:rPr>
        <w:t>Demigurc-Kunt</w:t>
      </w:r>
      <w:proofErr w:type="spellEnd"/>
      <w:r w:rsidR="00BA381F">
        <w:rPr>
          <w:rFonts w:cs="Times New Roman"/>
        </w:rPr>
        <w:t xml:space="preserve"> and Singer (</w:t>
      </w:r>
      <w:r w:rsidRPr="00A16735">
        <w:rPr>
          <w:rFonts w:cs="Times New Roman"/>
        </w:rPr>
        <w:t>2011</w:t>
      </w:r>
      <w:r w:rsidR="00BA381F">
        <w:rPr>
          <w:rFonts w:cs="Times New Roman"/>
        </w:rPr>
        <w:t>)</w:t>
      </w:r>
      <w:r w:rsidRPr="00A16735">
        <w:rPr>
          <w:rFonts w:cs="Times New Roman"/>
        </w:rPr>
        <w:t>? If the insights of imperfect and asymmetric information are central, such information te</w:t>
      </w:r>
      <w:r w:rsidR="00BA381F">
        <w:rPr>
          <w:rFonts w:cs="Times New Roman"/>
        </w:rPr>
        <w:t>nds to be local and specialized. T</w:t>
      </w:r>
      <w:r w:rsidRPr="00A16735">
        <w:rPr>
          <w:rFonts w:cs="Times New Roman"/>
        </w:rPr>
        <w:t>his may provide an important theoretical and practical justification for greater use of more low-end and more decentralized institutions. Would the latter, for example</w:t>
      </w:r>
      <w:r w:rsidR="00B5295C">
        <w:rPr>
          <w:rFonts w:cs="Times New Roman"/>
        </w:rPr>
        <w:t>,</w:t>
      </w:r>
      <w:r w:rsidRPr="00A16735">
        <w:rPr>
          <w:rFonts w:cs="Times New Roman"/>
        </w:rPr>
        <w:t xml:space="preserve"> be particularly effective for the financing of SMEs, and more broadly fo</w:t>
      </w:r>
      <w:r w:rsidR="00B5295C">
        <w:rPr>
          <w:rFonts w:cs="Times New Roman"/>
        </w:rPr>
        <w:t>r the so-called missing middle?</w:t>
      </w:r>
      <w:r w:rsidRPr="00A16735">
        <w:rPr>
          <w:rFonts w:cs="Times New Roman"/>
        </w:rPr>
        <w:t xml:space="preserve"> For many African households such low-end financial institutions constitute the only form</w:t>
      </w:r>
      <w:r w:rsidR="00B5295C">
        <w:rPr>
          <w:rFonts w:cs="Times New Roman"/>
        </w:rPr>
        <w:t xml:space="preserve"> of financial access. In Uganda</w:t>
      </w:r>
      <w:r w:rsidRPr="00A16735">
        <w:rPr>
          <w:rFonts w:cs="Times New Roman"/>
        </w:rPr>
        <w:t xml:space="preserve"> for instance only 21 percent of adults above the age of 15 have an account at a formal financial institution </w:t>
      </w:r>
      <w:r w:rsidRPr="00A16735">
        <w:rPr>
          <w:rFonts w:cs="Times New Roman"/>
        </w:rPr>
        <w:fldChar w:fldCharType="begin"/>
      </w:r>
      <w:r w:rsidRPr="00A16735">
        <w:rPr>
          <w:rFonts w:cs="Times New Roman"/>
        </w:rPr>
        <w:instrText xml:space="preserve"> ADDIN EN.CITE &lt;EndNote&gt;&lt;Cite&gt;&lt;Author&gt;Demirguc-Kunt&lt;/Author&gt;&lt;Year&gt;2012&lt;/Year&gt;&lt;RecNum&gt;773&lt;/RecNum&gt;&lt;DisplayText&gt;(Demirguc-Kunt and Klapper, 2012)&lt;/DisplayText&gt;&lt;record&gt;&lt;rec-number&gt;773&lt;/rec-number&gt;&lt;foreign-keys&gt;&lt;key app="EN" db-id="9pzez5pegvtpr3e5adz5f2vnsaw9d5pt5vvz"&gt;773&lt;/key&gt;&lt;/foreign-keys&gt;&lt;ref-type name="Report"&gt;27&lt;/ref-type&gt;&lt;contributors&gt;&lt;authors&gt;&lt;author&gt;Demirguc-Kunt,Asli &lt;/author&gt;&lt;author&gt;Klapper, Leora &lt;/author&gt;&lt;/authors&gt;&lt;/contributors&gt;&lt;titles&gt;&lt;title&gt;Measuring Financial Inclusion: The Global Findex Database&lt;/title&gt;&lt;secondary-title&gt;World Bank Policy Research Paper &lt;/secondary-title&gt;&lt;/titles&gt;&lt;number&gt;6025&lt;/number&gt;&lt;dates&gt;&lt;year&gt;2012&lt;/year&gt;&lt;/dates&gt;&lt;urls&gt;&lt;/urls&gt;&lt;/record&gt;&lt;/Cite&gt;&lt;/EndNote&gt;</w:instrText>
      </w:r>
      <w:r w:rsidRPr="00A16735">
        <w:rPr>
          <w:rFonts w:cs="Times New Roman"/>
        </w:rPr>
        <w:fldChar w:fldCharType="separate"/>
      </w:r>
      <w:r w:rsidRPr="00A16735">
        <w:rPr>
          <w:rFonts w:cs="Times New Roman"/>
          <w:noProof/>
        </w:rPr>
        <w:t>(</w:t>
      </w:r>
      <w:hyperlink r:id="rId17" w:anchor="_ENREF_4" w:tooltip="Demirguc-Kunt, 2012 #773" w:history="1">
        <w:r w:rsidRPr="00A16735">
          <w:rPr>
            <w:rStyle w:val="Hyperlink"/>
            <w:rFonts w:cs="Times New Roman"/>
            <w:noProof/>
            <w:color w:val="000000"/>
            <w:u w:val="none"/>
          </w:rPr>
          <w:t>Demirguc-Kunt and Klapper, 2012</w:t>
        </w:r>
      </w:hyperlink>
      <w:r w:rsidRPr="00A16735">
        <w:rPr>
          <w:rFonts w:cs="Times New Roman"/>
          <w:noProof/>
        </w:rPr>
        <w:t>)</w:t>
      </w:r>
      <w:r w:rsidRPr="00A16735">
        <w:rPr>
          <w:rFonts w:cs="Times New Roman"/>
        </w:rPr>
        <w:fldChar w:fldCharType="end"/>
      </w:r>
      <w:r w:rsidR="00B5295C">
        <w:rPr>
          <w:rFonts w:cs="Times New Roman"/>
        </w:rPr>
        <w:t>.</w:t>
      </w:r>
    </w:p>
    <w:p w:rsidR="00BB1C02" w:rsidRPr="00A16735" w:rsidRDefault="0042301D" w:rsidP="00A16735">
      <w:pPr>
        <w:spacing w:line="360" w:lineRule="auto"/>
        <w:jc w:val="both"/>
        <w:rPr>
          <w:rFonts w:cs="Times New Roman"/>
        </w:rPr>
      </w:pPr>
      <w:r w:rsidRPr="00A16735">
        <w:rPr>
          <w:rFonts w:cs="Times New Roman"/>
        </w:rPr>
        <w:t xml:space="preserve"> A second issue relates to a possible increased role for development banks. </w:t>
      </w:r>
      <w:r w:rsidR="00B27AAC" w:rsidRPr="00A16735">
        <w:rPr>
          <w:rFonts w:cs="Times New Roman"/>
        </w:rPr>
        <w:t xml:space="preserve">Since the 2007/2008 crisis, </w:t>
      </w:r>
      <w:r w:rsidR="00B5295C">
        <w:rPr>
          <w:rFonts w:cs="Times New Roman"/>
        </w:rPr>
        <w:t>there has been increasing interest</w:t>
      </w:r>
      <w:r w:rsidR="00B27AAC" w:rsidRPr="00A16735">
        <w:rPr>
          <w:rFonts w:cs="Times New Roman"/>
        </w:rPr>
        <w:t xml:space="preserve"> in expanding t</w:t>
      </w:r>
      <w:r w:rsidR="00FA7BB1" w:rsidRPr="00A16735">
        <w:rPr>
          <w:rFonts w:cs="Times New Roman"/>
        </w:rPr>
        <w:t xml:space="preserve">he role of national </w:t>
      </w:r>
      <w:r w:rsidR="00B27AAC" w:rsidRPr="00A16735">
        <w:rPr>
          <w:rFonts w:cs="Times New Roman"/>
        </w:rPr>
        <w:t>development banks</w:t>
      </w:r>
      <w:r w:rsidR="00A53739" w:rsidRPr="00A16735">
        <w:rPr>
          <w:rFonts w:cs="Times New Roman"/>
        </w:rPr>
        <w:t xml:space="preserve"> </w:t>
      </w:r>
      <w:r w:rsidR="00B5295C">
        <w:rPr>
          <w:rFonts w:cs="Times New Roman"/>
        </w:rPr>
        <w:t>(if well-</w:t>
      </w:r>
      <w:r w:rsidR="00FA7BB1" w:rsidRPr="00A16735">
        <w:rPr>
          <w:rFonts w:cs="Times New Roman"/>
        </w:rPr>
        <w:t>functioning),</w:t>
      </w:r>
      <w:r w:rsidR="00B27AAC" w:rsidRPr="00A16735">
        <w:rPr>
          <w:rFonts w:cs="Times New Roman"/>
        </w:rPr>
        <w:t xml:space="preserve"> to provide counter-cyclical lending when private credit falls. Also,</w:t>
      </w:r>
      <w:r w:rsidR="00FA7BB1" w:rsidRPr="00A16735">
        <w:rPr>
          <w:rFonts w:cs="Times New Roman"/>
        </w:rPr>
        <w:t xml:space="preserve"> good </w:t>
      </w:r>
      <w:r w:rsidR="00B27AAC" w:rsidRPr="00A16735">
        <w:rPr>
          <w:rFonts w:cs="Times New Roman"/>
        </w:rPr>
        <w:t>public banks can be valuable for incorporating environmental externalities, to give LICs the opportunity to “leap frog” by adopting low-carbon technologies</w:t>
      </w:r>
      <w:r w:rsidRPr="00A16735">
        <w:rPr>
          <w:rFonts w:cs="Times New Roman"/>
        </w:rPr>
        <w:t>, for example in renewable energy</w:t>
      </w:r>
      <w:r w:rsidR="00B27AAC" w:rsidRPr="00A16735">
        <w:rPr>
          <w:rFonts w:cs="Times New Roman"/>
        </w:rPr>
        <w:t xml:space="preserve">. More broadly, </w:t>
      </w:r>
      <w:r w:rsidR="00B27AAC" w:rsidRPr="00A16735">
        <w:rPr>
          <w:rFonts w:cs="Times New Roman"/>
        </w:rPr>
        <w:lastRenderedPageBreak/>
        <w:t>public development banks can be a valuable mechanism for financing particular strategies of development.</w:t>
      </w:r>
    </w:p>
    <w:p w:rsidR="00B27AAC" w:rsidRPr="00A16735" w:rsidRDefault="00BB1C02" w:rsidP="00A16735">
      <w:pPr>
        <w:spacing w:line="360" w:lineRule="auto"/>
        <w:jc w:val="both"/>
        <w:rPr>
          <w:rFonts w:cs="Times New Roman"/>
        </w:rPr>
      </w:pPr>
      <w:r w:rsidRPr="00A16735">
        <w:rPr>
          <w:rFonts w:cs="Times New Roman"/>
        </w:rPr>
        <w:t>Public development banks also have the advantage that they can lev</w:t>
      </w:r>
      <w:r w:rsidR="005E0A7C">
        <w:rPr>
          <w:rFonts w:cs="Times New Roman"/>
        </w:rPr>
        <w:t>erage public resources, as they</w:t>
      </w:r>
      <w:r w:rsidR="00B27AAC" w:rsidRPr="00A16735">
        <w:rPr>
          <w:rFonts w:cs="Times New Roman"/>
        </w:rPr>
        <w:t xml:space="preserve"> </w:t>
      </w:r>
      <w:r w:rsidR="005E0A7C">
        <w:rPr>
          <w:rFonts w:cs="Times New Roman"/>
        </w:rPr>
        <w:t>f</w:t>
      </w:r>
      <w:r w:rsidRPr="00A16735">
        <w:rPr>
          <w:rFonts w:cs="Times New Roman"/>
        </w:rPr>
        <w:t>und their loans in the private cap</w:t>
      </w:r>
      <w:r w:rsidR="005E0A7C">
        <w:rPr>
          <w:rFonts w:cs="Times New Roman"/>
        </w:rPr>
        <w:t xml:space="preserve">ital markets, as well as </w:t>
      </w:r>
      <w:r w:rsidRPr="00A16735">
        <w:rPr>
          <w:rFonts w:cs="Times New Roman"/>
        </w:rPr>
        <w:t>co-fi</w:t>
      </w:r>
      <w:r w:rsidR="005E0A7C">
        <w:rPr>
          <w:rFonts w:cs="Times New Roman"/>
        </w:rPr>
        <w:t>nancing with private banks and/or</w:t>
      </w:r>
      <w:r w:rsidRPr="00A16735">
        <w:rPr>
          <w:rFonts w:cs="Times New Roman"/>
        </w:rPr>
        <w:t xml:space="preserve"> private investors or on-lend via private banks, as typically done for SMEs. </w:t>
      </w:r>
      <w:r w:rsidR="00FA7BB1" w:rsidRPr="00A16735">
        <w:rPr>
          <w:rFonts w:cs="Times New Roman"/>
        </w:rPr>
        <w:t xml:space="preserve"> The key issue is w</w:t>
      </w:r>
      <w:r w:rsidR="00B27AAC" w:rsidRPr="00A16735">
        <w:rPr>
          <w:rFonts w:cs="Times New Roman"/>
        </w:rPr>
        <w:t xml:space="preserve">hat are </w:t>
      </w:r>
      <w:r w:rsidR="00FA7BB1" w:rsidRPr="00A16735">
        <w:rPr>
          <w:rFonts w:cs="Times New Roman"/>
        </w:rPr>
        <w:t>the incentives and governance</w:t>
      </w:r>
      <w:r w:rsidR="00B27AAC" w:rsidRPr="00A16735">
        <w:rPr>
          <w:rFonts w:cs="Times New Roman"/>
        </w:rPr>
        <w:t xml:space="preserve"> arrangements that are required to make such development banks effective and efficient in LICs</w:t>
      </w:r>
      <w:r w:rsidRPr="00A16735">
        <w:rPr>
          <w:rFonts w:cs="Times New Roman"/>
        </w:rPr>
        <w:t>, as well as more broadly in developing and emerging economies</w:t>
      </w:r>
      <w:r w:rsidR="00B27AAC" w:rsidRPr="00A16735">
        <w:rPr>
          <w:rFonts w:cs="Times New Roman"/>
        </w:rPr>
        <w:t>? What lessons can be learned from successful banks in developed countries (e.</w:t>
      </w:r>
      <w:r w:rsidR="00FA7BB1" w:rsidRPr="00A16735">
        <w:rPr>
          <w:rFonts w:cs="Times New Roman"/>
        </w:rPr>
        <w:t>g. at a national level, the best example perhaps being</w:t>
      </w:r>
      <w:r w:rsidR="00B27AAC" w:rsidRPr="00A16735">
        <w:rPr>
          <w:rFonts w:cs="Times New Roman"/>
        </w:rPr>
        <w:t xml:space="preserve"> German </w:t>
      </w:r>
      <w:proofErr w:type="spellStart"/>
      <w:r w:rsidR="00B27AAC" w:rsidRPr="00A16735">
        <w:rPr>
          <w:rFonts w:cs="Times New Roman"/>
        </w:rPr>
        <w:t>KfW</w:t>
      </w:r>
      <w:proofErr w:type="spellEnd"/>
      <w:r w:rsidR="00B27AAC" w:rsidRPr="00A16735">
        <w:rPr>
          <w:rFonts w:cs="Times New Roman"/>
        </w:rPr>
        <w:t xml:space="preserve">) and emerging economies (e.g. BNDES in Brazil, as well as </w:t>
      </w:r>
      <w:r w:rsidR="00FA7BB1" w:rsidRPr="00A16735">
        <w:rPr>
          <w:rFonts w:cs="Times New Roman"/>
        </w:rPr>
        <w:t xml:space="preserve">several </w:t>
      </w:r>
      <w:r w:rsidR="00B27AAC" w:rsidRPr="00A16735">
        <w:rPr>
          <w:rFonts w:cs="Times New Roman"/>
        </w:rPr>
        <w:t>Asian development banks)? Most research on the experiences with development banks in Africa dates from the 1980s and 1</w:t>
      </w:r>
      <w:r w:rsidR="005E0A7C">
        <w:rPr>
          <w:rFonts w:cs="Times New Roman"/>
        </w:rPr>
        <w:t>990s and evaluations report fairly</w:t>
      </w:r>
      <w:r w:rsidR="00B27AAC" w:rsidRPr="00A16735">
        <w:rPr>
          <w:rFonts w:cs="Times New Roman"/>
        </w:rPr>
        <w:t xml:space="preserve"> negative experiences </w:t>
      </w:r>
      <w:r w:rsidR="00B27AAC" w:rsidRPr="00A16735">
        <w:rPr>
          <w:rFonts w:cs="Times New Roman"/>
        </w:rPr>
        <w:fldChar w:fldCharType="begin"/>
      </w:r>
      <w:r w:rsidR="00B27AAC" w:rsidRPr="00A16735">
        <w:rPr>
          <w:rFonts w:cs="Times New Roman"/>
        </w:rPr>
        <w:instrText xml:space="preserve"> ADDIN EN.CITE &lt;EndNote&gt;&lt;Cite&gt;&lt;Author&gt;Brownbridge&lt;/Author&gt;&lt;Year&gt;1998&lt;/Year&gt;&lt;RecNum&gt;85&lt;/RecNum&gt;&lt;DisplayText&gt;(Brownbridge et al., 1998)&lt;/DisplayText&gt;&lt;record&gt;&lt;rec-number&gt;85&lt;/rec-number&gt;&lt;foreign-keys&gt;&lt;key app="EN" db-id="9pzez5pegvtpr3e5adz5f2vnsaw9d5pt5vvz"&gt;85&lt;/key&gt;&lt;/foreign-keys&gt;&lt;ref-type name="Book"&gt;6&lt;/ref-type&gt;&lt;contributors&gt;&lt;authors&gt;&lt;author&gt;Brownbridge, Martin &lt;/author&gt;&lt;author&gt;Harvey, Charles &lt;/author&gt;&lt;author&gt;Fritz Gockel, Augustine &lt;/author&gt;&lt;/authors&gt;&lt;/contributors&gt;&lt;titles&gt;&lt;title&gt;Banking in Africa: the impact of financial sector reform since independence&lt;/title&gt;&lt;/titles&gt;&lt;dates&gt;&lt;year&gt;1998&lt;/year&gt;&lt;/dates&gt;&lt;pub-location&gt;Oxford and Trenton, NJ&lt;/pub-location&gt;&lt;publisher&gt;James Currey and Africa World Press&lt;/publisher&gt;&lt;urls&gt;&lt;/urls&gt;&lt;/record&gt;&lt;/Cite&gt;&lt;/EndNote&gt;</w:instrText>
      </w:r>
      <w:r w:rsidR="00B27AAC" w:rsidRPr="00A16735">
        <w:rPr>
          <w:rFonts w:cs="Times New Roman"/>
        </w:rPr>
        <w:fldChar w:fldCharType="separate"/>
      </w:r>
      <w:r w:rsidR="00B27AAC" w:rsidRPr="00A16735">
        <w:rPr>
          <w:rFonts w:cs="Times New Roman"/>
          <w:noProof/>
        </w:rPr>
        <w:t>(</w:t>
      </w:r>
      <w:hyperlink r:id="rId18" w:anchor="_ENREF_3" w:tooltip="Brownbridge, 1998 #85" w:history="1">
        <w:r w:rsidR="00B27AAC" w:rsidRPr="00A16735">
          <w:rPr>
            <w:rStyle w:val="Hyperlink"/>
            <w:rFonts w:cs="Times New Roman"/>
            <w:noProof/>
            <w:color w:val="000000"/>
            <w:u w:val="none"/>
          </w:rPr>
          <w:t>Brownbridge et al., 1998</w:t>
        </w:r>
      </w:hyperlink>
      <w:r w:rsidR="00B27AAC" w:rsidRPr="00A16735">
        <w:rPr>
          <w:rFonts w:cs="Times New Roman"/>
          <w:noProof/>
        </w:rPr>
        <w:t>)</w:t>
      </w:r>
      <w:r w:rsidR="00B27AAC" w:rsidRPr="00A16735">
        <w:rPr>
          <w:rFonts w:cs="Times New Roman"/>
        </w:rPr>
        <w:fldChar w:fldCharType="end"/>
      </w:r>
      <w:r w:rsidR="00FA7BB1" w:rsidRPr="00A16735">
        <w:rPr>
          <w:rFonts w:cs="Times New Roman"/>
        </w:rPr>
        <w:t>. Are there today well-functioning development banks in some low income countries? How ca</w:t>
      </w:r>
      <w:r w:rsidR="005E0A7C">
        <w:rPr>
          <w:rFonts w:cs="Times New Roman"/>
        </w:rPr>
        <w:t>n their performance be improved</w:t>
      </w:r>
      <w:r w:rsidR="00FA7BB1" w:rsidRPr="00A16735">
        <w:rPr>
          <w:rFonts w:cs="Times New Roman"/>
        </w:rPr>
        <w:t xml:space="preserve"> and how can good development banks </w:t>
      </w:r>
      <w:proofErr w:type="gramStart"/>
      <w:r w:rsidR="00FA7BB1" w:rsidRPr="00A16735">
        <w:rPr>
          <w:rFonts w:cs="Times New Roman"/>
        </w:rPr>
        <w:t>be</w:t>
      </w:r>
      <w:proofErr w:type="gramEnd"/>
      <w:r w:rsidR="00FA7BB1" w:rsidRPr="00A16735">
        <w:rPr>
          <w:rFonts w:cs="Times New Roman"/>
        </w:rPr>
        <w:t xml:space="preserve"> created? </w:t>
      </w:r>
      <w:r w:rsidR="00B27AAC" w:rsidRPr="00A16735">
        <w:rPr>
          <w:rFonts w:cs="Times New Roman"/>
        </w:rPr>
        <w:t xml:space="preserve"> Returning to the theoretical issues, what are the specific market gaps and failures which need addressing in specific LIC contexts, and how best can government failures </w:t>
      </w:r>
      <w:proofErr w:type="gramStart"/>
      <w:r w:rsidR="00B27AAC" w:rsidRPr="00A16735">
        <w:rPr>
          <w:rFonts w:cs="Times New Roman"/>
        </w:rPr>
        <w:t>be</w:t>
      </w:r>
      <w:proofErr w:type="gramEnd"/>
      <w:r w:rsidR="00B27AAC" w:rsidRPr="00A16735">
        <w:rPr>
          <w:rFonts w:cs="Times New Roman"/>
        </w:rPr>
        <w:t xml:space="preserve"> minimised? </w:t>
      </w:r>
      <w:r w:rsidR="00FA7BB1" w:rsidRPr="00A16735">
        <w:rPr>
          <w:rFonts w:cs="Times New Roman"/>
        </w:rPr>
        <w:t xml:space="preserve"> </w:t>
      </w:r>
    </w:p>
    <w:p w:rsidR="00AE7F87" w:rsidRPr="00A16735" w:rsidRDefault="00AE7F87" w:rsidP="00A16735">
      <w:pPr>
        <w:spacing w:line="360" w:lineRule="auto"/>
        <w:jc w:val="both"/>
        <w:rPr>
          <w:rFonts w:cs="Times New Roman"/>
        </w:rPr>
      </w:pPr>
      <w:r w:rsidRPr="00A16735">
        <w:rPr>
          <w:rFonts w:cs="Times New Roman"/>
        </w:rPr>
        <w:t>More broadly, having a more diversified financial structure for developing and emerging economies, th</w:t>
      </w:r>
      <w:r w:rsidR="00D14BE5">
        <w:rPr>
          <w:rFonts w:cs="Times New Roman"/>
        </w:rPr>
        <w:t xml:space="preserve">an one just focussed mainly in </w:t>
      </w:r>
      <w:r w:rsidRPr="00A16735">
        <w:rPr>
          <w:rFonts w:cs="Times New Roman"/>
        </w:rPr>
        <w:t>private</w:t>
      </w:r>
      <w:r w:rsidR="00D14BE5">
        <w:rPr>
          <w:rFonts w:cs="Times New Roman"/>
        </w:rPr>
        <w:t xml:space="preserve"> </w:t>
      </w:r>
      <w:r w:rsidRPr="00A16735">
        <w:rPr>
          <w:rFonts w:cs="Times New Roman"/>
        </w:rPr>
        <w:t xml:space="preserve">(often large) </w:t>
      </w:r>
      <w:proofErr w:type="gramStart"/>
      <w:r w:rsidRPr="00A16735">
        <w:rPr>
          <w:rFonts w:cs="Times New Roman"/>
        </w:rPr>
        <w:t>ba</w:t>
      </w:r>
      <w:r w:rsidR="00D14BE5">
        <w:rPr>
          <w:rFonts w:cs="Times New Roman"/>
        </w:rPr>
        <w:t>nks</w:t>
      </w:r>
      <w:proofErr w:type="gramEnd"/>
      <w:r w:rsidR="00D14BE5">
        <w:rPr>
          <w:rFonts w:cs="Times New Roman"/>
        </w:rPr>
        <w:t xml:space="preserve"> may have several advantages. Firstly, i</w:t>
      </w:r>
      <w:r w:rsidRPr="00A16735">
        <w:rPr>
          <w:rFonts w:cs="Times New Roman"/>
        </w:rPr>
        <w:t>t may encourage competition between different types of financial institutions, which could lead to them being more efficient, for exam</w:t>
      </w:r>
      <w:r w:rsidR="00D14BE5">
        <w:rPr>
          <w:rFonts w:cs="Times New Roman"/>
        </w:rPr>
        <w:t>ple in the spreads they charge. Secondly,</w:t>
      </w:r>
      <w:r w:rsidRPr="00A16735">
        <w:rPr>
          <w:rFonts w:cs="Times New Roman"/>
        </w:rPr>
        <w:t xml:space="preserve"> a more diversified financial system, especially if not having inter-connected risks, could lead to less systemic risk and therefore contribute to financial</w:t>
      </w:r>
      <w:r w:rsidR="00A53739" w:rsidRPr="00A16735">
        <w:rPr>
          <w:rFonts w:cs="Times New Roman"/>
        </w:rPr>
        <w:t xml:space="preserve"> stability. Though this seems </w:t>
      </w:r>
      <w:r w:rsidRPr="00A16735">
        <w:rPr>
          <w:rFonts w:cs="Times New Roman"/>
        </w:rPr>
        <w:t>logical, it may be useful to do careful empirical analysis, including of case studies,</w:t>
      </w:r>
      <w:r w:rsidR="009555EF">
        <w:rPr>
          <w:rFonts w:cs="Times New Roman"/>
        </w:rPr>
        <w:t xml:space="preserve"> to see to what extent this is </w:t>
      </w:r>
      <w:r w:rsidRPr="00A16735">
        <w:rPr>
          <w:rFonts w:cs="Times New Roman"/>
        </w:rPr>
        <w:t>true</w:t>
      </w:r>
      <w:r w:rsidR="009555EF">
        <w:rPr>
          <w:rFonts w:cs="Times New Roman"/>
        </w:rPr>
        <w:t>. Thirdly, i</w:t>
      </w:r>
      <w:r w:rsidRPr="00A16735">
        <w:rPr>
          <w:rFonts w:cs="Times New Roman"/>
        </w:rPr>
        <w:t>f different varieties of financial instit</w:t>
      </w:r>
      <w:r w:rsidR="009555EF">
        <w:rPr>
          <w:rFonts w:cs="Times New Roman"/>
        </w:rPr>
        <w:t>utions have different strengths</w:t>
      </w:r>
      <w:r w:rsidR="009555EF">
        <w:rPr>
          <w:rStyle w:val="FootnoteReference"/>
          <w:rFonts w:cs="Times New Roman"/>
        </w:rPr>
        <w:footnoteReference w:id="2"/>
      </w:r>
      <w:r w:rsidR="009555EF">
        <w:rPr>
          <w:rFonts w:cs="Times New Roman"/>
        </w:rPr>
        <w:t xml:space="preserve">, </w:t>
      </w:r>
      <w:r w:rsidR="00A53739" w:rsidRPr="00A16735">
        <w:rPr>
          <w:rFonts w:cs="Times New Roman"/>
        </w:rPr>
        <w:t>having a more diverse system coul</w:t>
      </w:r>
      <w:r w:rsidR="009555EF">
        <w:rPr>
          <w:rFonts w:cs="Times New Roman"/>
        </w:rPr>
        <w:t xml:space="preserve">d make it more likely that the </w:t>
      </w:r>
      <w:r w:rsidR="00A53739" w:rsidRPr="00A16735">
        <w:rPr>
          <w:rFonts w:cs="Times New Roman"/>
        </w:rPr>
        <w:t xml:space="preserve">financial sector functions needed to help achieve inclusive growth are achieved, than if the structure of the financial sector </w:t>
      </w:r>
      <w:r w:rsidR="00E409A7" w:rsidRPr="00A16735">
        <w:rPr>
          <w:rFonts w:cs="Times New Roman"/>
        </w:rPr>
        <w:t>are determined spontaneously, or dominated by one type of financial i</w:t>
      </w:r>
      <w:r w:rsidR="009555EF">
        <w:rPr>
          <w:rFonts w:cs="Times New Roman"/>
        </w:rPr>
        <w:t>nstitutions, be they</w:t>
      </w:r>
      <w:r w:rsidR="00E409A7" w:rsidRPr="00A16735">
        <w:rPr>
          <w:rFonts w:cs="Times New Roman"/>
        </w:rPr>
        <w:t xml:space="preserve"> small or large, private or public, national or foreign.</w:t>
      </w:r>
    </w:p>
    <w:p w:rsidR="00E409A7" w:rsidRPr="00A16735" w:rsidRDefault="00E409A7" w:rsidP="00A16735">
      <w:pPr>
        <w:spacing w:line="360" w:lineRule="auto"/>
        <w:jc w:val="both"/>
        <w:rPr>
          <w:rFonts w:cs="Times New Roman"/>
        </w:rPr>
      </w:pPr>
      <w:r w:rsidRPr="00A16735">
        <w:rPr>
          <w:rFonts w:cs="Times New Roman"/>
        </w:rPr>
        <w:t>Indeed, given that fi</w:t>
      </w:r>
      <w:r w:rsidR="00743C0C">
        <w:rPr>
          <w:rFonts w:cs="Times New Roman"/>
        </w:rPr>
        <w:t xml:space="preserve">nancial sectors (particularly </w:t>
      </w:r>
      <w:r w:rsidRPr="00A16735">
        <w:rPr>
          <w:rFonts w:cs="Times New Roman"/>
        </w:rPr>
        <w:t>liberalized, very lightly regulated one</w:t>
      </w:r>
      <w:r w:rsidR="00743C0C">
        <w:rPr>
          <w:rFonts w:cs="Times New Roman"/>
        </w:rPr>
        <w:t xml:space="preserve">s, but also </w:t>
      </w:r>
      <w:r w:rsidRPr="00A16735">
        <w:rPr>
          <w:rFonts w:cs="Times New Roman"/>
        </w:rPr>
        <w:t>very repressed one</w:t>
      </w:r>
      <w:r w:rsidR="00743C0C">
        <w:rPr>
          <w:rFonts w:cs="Times New Roman"/>
        </w:rPr>
        <w:t>s</w:t>
      </w:r>
      <w:r w:rsidRPr="00A16735">
        <w:rPr>
          <w:rFonts w:cs="Times New Roman"/>
        </w:rPr>
        <w:t xml:space="preserve">) can be very problematic for inclusive growth, the need to pursue pragmatic policies </w:t>
      </w:r>
      <w:r w:rsidR="00BB1C02" w:rsidRPr="00A16735">
        <w:rPr>
          <w:rFonts w:cs="Times New Roman"/>
        </w:rPr>
        <w:t>in financial sector development</w:t>
      </w:r>
      <w:r w:rsidRPr="00A16735">
        <w:rPr>
          <w:rFonts w:cs="Times New Roman"/>
        </w:rPr>
        <w:t xml:space="preserve">, as well as its regulation, and not be driven by ideology or conditioned too much by the interest of agents in the financial sector is especially important. It is </w:t>
      </w:r>
      <w:r w:rsidRPr="00A16735">
        <w:rPr>
          <w:rFonts w:cs="Times New Roman"/>
        </w:rPr>
        <w:lastRenderedPageBreak/>
        <w:t>important not to adopt an “either/or” attitude, but look at the best ways of building synergies amongst institutions of different type</w:t>
      </w:r>
      <w:r w:rsidR="00BB1C02" w:rsidRPr="00A16735">
        <w:rPr>
          <w:rFonts w:cs="Times New Roman"/>
        </w:rPr>
        <w:t xml:space="preserve"> </w:t>
      </w:r>
      <w:r w:rsidRPr="00A16735">
        <w:rPr>
          <w:rFonts w:cs="Times New Roman"/>
        </w:rPr>
        <w:t>(e</w:t>
      </w:r>
      <w:r w:rsidR="00743C0C">
        <w:rPr>
          <w:rFonts w:cs="Times New Roman"/>
        </w:rPr>
        <w:t>.</w:t>
      </w:r>
      <w:r w:rsidRPr="00A16735">
        <w:rPr>
          <w:rFonts w:cs="Times New Roman"/>
        </w:rPr>
        <w:t>g</w:t>
      </w:r>
      <w:r w:rsidR="00743C0C">
        <w:rPr>
          <w:rFonts w:cs="Times New Roman"/>
        </w:rPr>
        <w:t>.</w:t>
      </w:r>
      <w:r w:rsidR="000519EE">
        <w:rPr>
          <w:rFonts w:cs="Times New Roman"/>
        </w:rPr>
        <w:t xml:space="preserve"> private and public)</w:t>
      </w:r>
      <w:r w:rsidRPr="00A16735">
        <w:rPr>
          <w:rFonts w:cs="Times New Roman"/>
        </w:rPr>
        <w:t xml:space="preserve"> as well as encourage best practice within them</w:t>
      </w:r>
      <w:r w:rsidRPr="00A83962">
        <w:rPr>
          <w:rFonts w:cs="Times New Roman"/>
        </w:rPr>
        <w:t>.</w:t>
      </w:r>
      <w:r w:rsidR="00BB1C02" w:rsidRPr="00A83962">
        <w:rPr>
          <w:rFonts w:cs="Times New Roman"/>
        </w:rPr>
        <w:t xml:space="preserve"> As described above, public develop</w:t>
      </w:r>
      <w:r w:rsidR="003A409E" w:rsidRPr="00A83962">
        <w:rPr>
          <w:rFonts w:cs="Times New Roman"/>
        </w:rPr>
        <w:t>ment banks co-finance, and increasingly</w:t>
      </w:r>
      <w:r w:rsidR="00BB1C02" w:rsidRPr="00A83962">
        <w:rPr>
          <w:rFonts w:cs="Times New Roman"/>
        </w:rPr>
        <w:t xml:space="preserve"> lend</w:t>
      </w:r>
      <w:r w:rsidR="003A409E" w:rsidRPr="00A83962">
        <w:rPr>
          <w:rFonts w:cs="Times New Roman"/>
        </w:rPr>
        <w:t>,</w:t>
      </w:r>
      <w:r w:rsidR="00BB1C02" w:rsidRPr="00A83962">
        <w:rPr>
          <w:rFonts w:cs="Times New Roman"/>
        </w:rPr>
        <w:t xml:space="preserve"> via private banks</w:t>
      </w:r>
      <w:r w:rsidR="003A409E" w:rsidRPr="00A83962">
        <w:rPr>
          <w:rFonts w:cs="Times New Roman"/>
        </w:rPr>
        <w:t>.</w:t>
      </w:r>
      <w:r w:rsidR="003A409E">
        <w:rPr>
          <w:rFonts w:cs="Times New Roman"/>
        </w:rPr>
        <w:t xml:space="preserve"> F</w:t>
      </w:r>
      <w:r w:rsidR="00BB1C02" w:rsidRPr="00A16735">
        <w:rPr>
          <w:rFonts w:cs="Times New Roman"/>
        </w:rPr>
        <w:t xml:space="preserve">urthermore, much of their lending is done to private firms. The ability to combine </w:t>
      </w:r>
      <w:r w:rsidR="00234CB7">
        <w:rPr>
          <w:rFonts w:cs="Times New Roman"/>
        </w:rPr>
        <w:t xml:space="preserve">private and public </w:t>
      </w:r>
      <w:r w:rsidR="00BB1C02" w:rsidRPr="00A16735">
        <w:rPr>
          <w:rFonts w:cs="Times New Roman"/>
        </w:rPr>
        <w:t xml:space="preserve">creatively, </w:t>
      </w:r>
      <w:r w:rsidR="00234CB7">
        <w:rPr>
          <w:rFonts w:cs="Times New Roman"/>
        </w:rPr>
        <w:t xml:space="preserve">ideally </w:t>
      </w:r>
      <w:r w:rsidR="007929DF" w:rsidRPr="00A16735">
        <w:rPr>
          <w:rFonts w:cs="Times New Roman"/>
        </w:rPr>
        <w:t>working constructively together, is an essential feature</w:t>
      </w:r>
      <w:r w:rsidR="00BB1C02" w:rsidRPr="00A16735">
        <w:rPr>
          <w:rFonts w:cs="Times New Roman"/>
        </w:rPr>
        <w:t xml:space="preserve"> </w:t>
      </w:r>
      <w:r w:rsidR="00234CB7">
        <w:rPr>
          <w:rFonts w:cs="Times New Roman"/>
        </w:rPr>
        <w:t>of a financial system</w:t>
      </w:r>
      <w:r w:rsidR="007929DF" w:rsidRPr="00A16735">
        <w:rPr>
          <w:rFonts w:cs="Times New Roman"/>
        </w:rPr>
        <w:t xml:space="preserve"> if it is to serve the needs of inclusive and env</w:t>
      </w:r>
      <w:r w:rsidR="00234CB7">
        <w:rPr>
          <w:rFonts w:cs="Times New Roman"/>
        </w:rPr>
        <w:t>ironmentally sustainable growth. I</w:t>
      </w:r>
      <w:r w:rsidR="007929DF" w:rsidRPr="00A16735">
        <w:rPr>
          <w:rFonts w:cs="Times New Roman"/>
        </w:rPr>
        <w:t xml:space="preserve">n this sense, though by no means perfect, the way the German financial sector has </w:t>
      </w:r>
      <w:r w:rsidR="00D92734" w:rsidRPr="00A16735">
        <w:rPr>
          <w:rFonts w:cs="Times New Roman"/>
        </w:rPr>
        <w:t xml:space="preserve">developed and </w:t>
      </w:r>
      <w:r w:rsidR="00234CB7">
        <w:rPr>
          <w:rFonts w:cs="Times New Roman"/>
        </w:rPr>
        <w:t xml:space="preserve">operated, for example to </w:t>
      </w:r>
      <w:r w:rsidR="007929DF" w:rsidRPr="00A16735">
        <w:rPr>
          <w:rFonts w:cs="Times New Roman"/>
        </w:rPr>
        <w:t>successfully help fund renewable energy</w:t>
      </w:r>
      <w:r w:rsidR="00234CB7">
        <w:rPr>
          <w:rFonts w:cs="Times New Roman"/>
        </w:rPr>
        <w:t xml:space="preserve"> </w:t>
      </w:r>
      <w:r w:rsidR="007929DF" w:rsidRPr="00A16735">
        <w:rPr>
          <w:rFonts w:cs="Times New Roman"/>
        </w:rPr>
        <w:t>via public and private banks (as well as cooperative banks) and private investors acting together, provides a very good example. An interesting issue, beyond the scope of this paper, is how path dependent</w:t>
      </w:r>
      <w:r w:rsidR="00234CB7">
        <w:rPr>
          <w:rFonts w:cs="Times New Roman"/>
        </w:rPr>
        <w:t xml:space="preserve"> are</w:t>
      </w:r>
      <w:r w:rsidR="007929DF" w:rsidRPr="00A16735">
        <w:rPr>
          <w:rFonts w:cs="Times New Roman"/>
        </w:rPr>
        <w:t xml:space="preserve"> the evo</w:t>
      </w:r>
      <w:r w:rsidR="00234CB7">
        <w:rPr>
          <w:rFonts w:cs="Times New Roman"/>
        </w:rPr>
        <w:t>lution of financial systems. F</w:t>
      </w:r>
      <w:r w:rsidR="007929DF" w:rsidRPr="00A16735">
        <w:rPr>
          <w:rFonts w:cs="Times New Roman"/>
        </w:rPr>
        <w:t>or example, a question</w:t>
      </w:r>
      <w:r w:rsidR="00234CB7">
        <w:rPr>
          <w:rFonts w:cs="Times New Roman"/>
        </w:rPr>
        <w:t xml:space="preserve"> increasingly asked in the UK is: can </w:t>
      </w:r>
      <w:r w:rsidR="007929DF" w:rsidRPr="00A16735">
        <w:rPr>
          <w:rFonts w:cs="Times New Roman"/>
        </w:rPr>
        <w:t xml:space="preserve">the UK </w:t>
      </w:r>
      <w:r w:rsidR="00234CB7">
        <w:rPr>
          <w:rFonts w:cs="Times New Roman"/>
        </w:rPr>
        <w:t xml:space="preserve">effectively </w:t>
      </w:r>
      <w:r w:rsidR="007929DF" w:rsidRPr="00A16735">
        <w:rPr>
          <w:rFonts w:cs="Times New Roman"/>
        </w:rPr>
        <w:t xml:space="preserve">emulate </w:t>
      </w:r>
      <w:r w:rsidR="00234CB7">
        <w:rPr>
          <w:rFonts w:cs="Times New Roman"/>
        </w:rPr>
        <w:t xml:space="preserve">Germany </w:t>
      </w:r>
      <w:r w:rsidR="007929DF" w:rsidRPr="00A16735">
        <w:rPr>
          <w:rFonts w:cs="Times New Roman"/>
        </w:rPr>
        <w:t>in cer</w:t>
      </w:r>
      <w:r w:rsidR="00234CB7">
        <w:rPr>
          <w:rFonts w:cs="Times New Roman"/>
        </w:rPr>
        <w:t>tain aspects</w:t>
      </w:r>
      <w:r w:rsidR="007929DF" w:rsidRPr="00A16735">
        <w:rPr>
          <w:rFonts w:cs="Times New Roman"/>
        </w:rPr>
        <w:t>, for example by establ</w:t>
      </w:r>
      <w:r w:rsidR="00234CB7">
        <w:rPr>
          <w:rFonts w:cs="Times New Roman"/>
        </w:rPr>
        <w:t>ishing a successful public bank</w:t>
      </w:r>
      <w:r w:rsidR="007929DF" w:rsidRPr="00A16735">
        <w:rPr>
          <w:rFonts w:cs="Times New Roman"/>
        </w:rPr>
        <w:t xml:space="preserve"> such as </w:t>
      </w:r>
      <w:proofErr w:type="spellStart"/>
      <w:r w:rsidR="007929DF" w:rsidRPr="00A16735">
        <w:rPr>
          <w:rFonts w:cs="Times New Roman"/>
        </w:rPr>
        <w:t>KfW</w:t>
      </w:r>
      <w:proofErr w:type="spellEnd"/>
      <w:r w:rsidR="002247FE" w:rsidRPr="00A16735">
        <w:rPr>
          <w:rFonts w:cs="Times New Roman"/>
        </w:rPr>
        <w:t>, and what diffi</w:t>
      </w:r>
      <w:r w:rsidR="00234CB7">
        <w:rPr>
          <w:rFonts w:cs="Times New Roman"/>
        </w:rPr>
        <w:t>culties could it initially face</w:t>
      </w:r>
      <w:r w:rsidR="002247FE" w:rsidRPr="00A16735">
        <w:rPr>
          <w:rFonts w:cs="Times New Roman"/>
        </w:rPr>
        <w:t xml:space="preserve"> given the history and structure of the UK financial system</w:t>
      </w:r>
      <w:r w:rsidR="007929DF" w:rsidRPr="00A16735">
        <w:rPr>
          <w:rFonts w:cs="Times New Roman"/>
        </w:rPr>
        <w:t>?</w:t>
      </w:r>
      <w:r w:rsidR="002247FE" w:rsidRPr="00A16735">
        <w:rPr>
          <w:rFonts w:cs="Times New Roman"/>
        </w:rPr>
        <w:t xml:space="preserve"> Perhaps more relevant in the context, </w:t>
      </w:r>
      <w:r w:rsidR="00234CB7">
        <w:rPr>
          <w:rFonts w:cs="Times New Roman"/>
        </w:rPr>
        <w:t>especially for</w:t>
      </w:r>
      <w:r w:rsidR="00C75120" w:rsidRPr="00A16735">
        <w:rPr>
          <w:rFonts w:cs="Times New Roman"/>
        </w:rPr>
        <w:t xml:space="preserve"> LICs</w:t>
      </w:r>
      <w:r w:rsidR="002247FE" w:rsidRPr="00A16735">
        <w:rPr>
          <w:rFonts w:cs="Times New Roman"/>
        </w:rPr>
        <w:t>, to wh</w:t>
      </w:r>
      <w:r w:rsidR="00234CB7">
        <w:rPr>
          <w:rFonts w:cs="Times New Roman"/>
        </w:rPr>
        <w:t>at extent can countries with</w:t>
      </w:r>
      <w:r w:rsidR="002247FE" w:rsidRPr="00A16735">
        <w:rPr>
          <w:rFonts w:cs="Times New Roman"/>
        </w:rPr>
        <w:t xml:space="preserve"> perhaps weaker institutions and governance, </w:t>
      </w:r>
      <w:r w:rsidR="00234CB7">
        <w:rPr>
          <w:rFonts w:cs="Times New Roman"/>
        </w:rPr>
        <w:t>create or expand good (or well-</w:t>
      </w:r>
      <w:r w:rsidR="002247FE" w:rsidRPr="00A16735">
        <w:rPr>
          <w:rFonts w:cs="Times New Roman"/>
        </w:rPr>
        <w:t>functioning) development banks that can work well with the private secto</w:t>
      </w:r>
      <w:r w:rsidR="00234CB7">
        <w:rPr>
          <w:rFonts w:cs="Times New Roman"/>
        </w:rPr>
        <w:t>r</w:t>
      </w:r>
      <w:r w:rsidR="00D92734" w:rsidRPr="00A16735">
        <w:rPr>
          <w:rFonts w:cs="Times New Roman"/>
        </w:rPr>
        <w:t xml:space="preserve"> (both </w:t>
      </w:r>
      <w:r w:rsidR="00234CB7">
        <w:rPr>
          <w:rFonts w:cs="Times New Roman"/>
        </w:rPr>
        <w:t xml:space="preserve">with </w:t>
      </w:r>
      <w:r w:rsidR="00D92734" w:rsidRPr="00A16735">
        <w:rPr>
          <w:rFonts w:cs="Times New Roman"/>
        </w:rPr>
        <w:t>private banks</w:t>
      </w:r>
      <w:r w:rsidR="00234CB7">
        <w:rPr>
          <w:rFonts w:cs="Times New Roman"/>
        </w:rPr>
        <w:t xml:space="preserve"> as well as with enterprises) to support inclusive growth. C</w:t>
      </w:r>
      <w:r w:rsidR="002247FE" w:rsidRPr="00A16735">
        <w:rPr>
          <w:rFonts w:cs="Times New Roman"/>
        </w:rPr>
        <w:t>an the</w:t>
      </w:r>
      <w:r w:rsidR="00234CB7">
        <w:rPr>
          <w:rFonts w:cs="Times New Roman"/>
        </w:rPr>
        <w:t xml:space="preserve">y </w:t>
      </w:r>
      <w:r w:rsidR="002247FE" w:rsidRPr="00A16735">
        <w:rPr>
          <w:rFonts w:cs="Times New Roman"/>
        </w:rPr>
        <w:t>successfully follow in the path of d</w:t>
      </w:r>
      <w:r w:rsidR="00234CB7">
        <w:rPr>
          <w:rFonts w:cs="Times New Roman"/>
        </w:rPr>
        <w:t>eveloped and emerging economies</w:t>
      </w:r>
      <w:r w:rsidR="00771EEB">
        <w:rPr>
          <w:rFonts w:cs="Times New Roman"/>
        </w:rPr>
        <w:t>, that have done so</w:t>
      </w:r>
      <w:r w:rsidR="002247FE" w:rsidRPr="00A16735">
        <w:rPr>
          <w:rFonts w:cs="Times New Roman"/>
        </w:rPr>
        <w:t xml:space="preserve"> fairly effectively, and what are the</w:t>
      </w:r>
      <w:r w:rsidR="00771EEB">
        <w:rPr>
          <w:rFonts w:cs="Times New Roman"/>
        </w:rPr>
        <w:t xml:space="preserve"> detailed lessons to learn from</w:t>
      </w:r>
      <w:r w:rsidR="002247FE" w:rsidRPr="00A16735">
        <w:rPr>
          <w:rFonts w:cs="Times New Roman"/>
        </w:rPr>
        <w:t xml:space="preserve"> success</w:t>
      </w:r>
      <w:r w:rsidR="00D92734" w:rsidRPr="00A16735">
        <w:rPr>
          <w:rFonts w:cs="Times New Roman"/>
        </w:rPr>
        <w:t>es</w:t>
      </w:r>
      <w:r w:rsidR="002247FE" w:rsidRPr="00A16735">
        <w:rPr>
          <w:rFonts w:cs="Times New Roman"/>
        </w:rPr>
        <w:t xml:space="preserve"> and failures?</w:t>
      </w:r>
    </w:p>
    <w:p w:rsidR="008440A7" w:rsidRPr="00A16735" w:rsidRDefault="008440A7" w:rsidP="00A16735">
      <w:pPr>
        <w:spacing w:line="360" w:lineRule="auto"/>
        <w:jc w:val="both"/>
        <w:rPr>
          <w:rFonts w:cs="Times New Roman"/>
          <w:b/>
        </w:rPr>
      </w:pPr>
      <w:r w:rsidRPr="00A16735">
        <w:rPr>
          <w:rFonts w:cs="Times New Roman"/>
          <w:b/>
        </w:rPr>
        <w:t>3. Managing the capital account</w:t>
      </w:r>
      <w:r w:rsidR="00C5023C" w:rsidRPr="00A16735">
        <w:rPr>
          <w:rFonts w:cs="Times New Roman"/>
          <w:b/>
        </w:rPr>
        <w:t>.</w:t>
      </w:r>
    </w:p>
    <w:p w:rsidR="00EF5204" w:rsidRDefault="00EF5204" w:rsidP="00A16735">
      <w:pPr>
        <w:spacing w:line="360" w:lineRule="auto"/>
        <w:jc w:val="both"/>
        <w:rPr>
          <w:rFonts w:cs="Times New Roman"/>
        </w:rPr>
      </w:pPr>
      <w:r w:rsidRPr="00A16735">
        <w:rPr>
          <w:rFonts w:cs="Times New Roman"/>
        </w:rPr>
        <w:t xml:space="preserve">Since the revival of </w:t>
      </w:r>
      <w:r w:rsidR="00394DFE" w:rsidRPr="00A16735">
        <w:rPr>
          <w:rFonts w:cs="Times New Roman"/>
        </w:rPr>
        <w:t xml:space="preserve">international </w:t>
      </w:r>
      <w:r w:rsidRPr="00A16735">
        <w:rPr>
          <w:rFonts w:cs="Times New Roman"/>
        </w:rPr>
        <w:t>capital markets in the 1960s,</w:t>
      </w:r>
      <w:r w:rsidR="00A916E7">
        <w:rPr>
          <w:rFonts w:cs="Times New Roman"/>
        </w:rPr>
        <w:t xml:space="preserve"> </w:t>
      </w:r>
      <w:r w:rsidR="00394DFE" w:rsidRPr="00A16735">
        <w:rPr>
          <w:rFonts w:cs="Times New Roman"/>
        </w:rPr>
        <w:t>and the subsequent liberalization of capital controls,</w:t>
      </w:r>
      <w:r w:rsidRPr="00A16735">
        <w:rPr>
          <w:rFonts w:cs="Times New Roman"/>
        </w:rPr>
        <w:t xml:space="preserve"> cross border capital flows have increased exponentially. Though most cross-border flows happen among developed economies, emerging and developing countries are increasing participants in these flows. It is widely recognized that capital flows (and particularly certain categories within them) may, under certain con</w:t>
      </w:r>
      <w:r w:rsidR="00E04391">
        <w:rPr>
          <w:rFonts w:cs="Times New Roman"/>
        </w:rPr>
        <w:t>ditions</w:t>
      </w:r>
      <w:r w:rsidRPr="00A16735">
        <w:rPr>
          <w:rFonts w:cs="Times New Roman"/>
        </w:rPr>
        <w:t>, be a valuable supplement to domestic savings to finance investment, as well as have other benefits</w:t>
      </w:r>
      <w:r w:rsidR="00B30746">
        <w:rPr>
          <w:rFonts w:cs="Times New Roman"/>
        </w:rPr>
        <w:t>, like bringing tec</w:t>
      </w:r>
      <w:r w:rsidR="00771EEB">
        <w:rPr>
          <w:rFonts w:cs="Times New Roman"/>
        </w:rPr>
        <w:t>hnology and access to markets, in</w:t>
      </w:r>
      <w:r w:rsidR="00B30746">
        <w:rPr>
          <w:rFonts w:cs="Times New Roman"/>
        </w:rPr>
        <w:t xml:space="preserve"> the case of foreign direct investment</w:t>
      </w:r>
      <w:r w:rsidRPr="00A16735">
        <w:rPr>
          <w:rFonts w:cs="Times New Roman"/>
        </w:rPr>
        <w:t>. However, there is growing evidence and agreement that certain capital flows can</w:t>
      </w:r>
      <w:r w:rsidR="00771EEB">
        <w:rPr>
          <w:rFonts w:cs="Times New Roman"/>
        </w:rPr>
        <w:t xml:space="preserve"> </w:t>
      </w:r>
      <w:r w:rsidRPr="00A16735">
        <w:rPr>
          <w:rFonts w:cs="Times New Roman"/>
        </w:rPr>
        <w:t>-</w:t>
      </w:r>
      <w:r w:rsidR="00771EEB">
        <w:rPr>
          <w:rFonts w:cs="Times New Roman"/>
        </w:rPr>
        <w:t xml:space="preserve"> </w:t>
      </w:r>
      <w:r w:rsidRPr="00A16735">
        <w:rPr>
          <w:rFonts w:cs="Times New Roman"/>
        </w:rPr>
        <w:t>and often do</w:t>
      </w:r>
      <w:r w:rsidR="00771EEB">
        <w:rPr>
          <w:rFonts w:cs="Times New Roman"/>
        </w:rPr>
        <w:t xml:space="preserve"> </w:t>
      </w:r>
      <w:r w:rsidRPr="00A16735">
        <w:rPr>
          <w:rFonts w:cs="Times New Roman"/>
        </w:rPr>
        <w:t>-</w:t>
      </w:r>
      <w:r w:rsidR="00771EEB">
        <w:rPr>
          <w:rFonts w:cs="Times New Roman"/>
        </w:rPr>
        <w:t xml:space="preserve"> </w:t>
      </w:r>
      <w:r w:rsidRPr="00A16735">
        <w:rPr>
          <w:rFonts w:cs="Times New Roman"/>
        </w:rPr>
        <w:t>have negative effects on growth</w:t>
      </w:r>
      <w:r w:rsidR="00771EEB">
        <w:rPr>
          <w:rFonts w:cs="Times New Roman"/>
        </w:rPr>
        <w:t xml:space="preserve"> </w:t>
      </w:r>
      <w:r w:rsidR="00E7174C" w:rsidRPr="00A16735">
        <w:rPr>
          <w:rFonts w:cs="Times New Roman"/>
        </w:rPr>
        <w:t>(for a good recent review of the empirical literature, especially focussed on low income countri</w:t>
      </w:r>
      <w:r w:rsidR="00A916E7">
        <w:rPr>
          <w:rFonts w:cs="Times New Roman"/>
        </w:rPr>
        <w:t>es, see Massa, 2013).</w:t>
      </w:r>
    </w:p>
    <w:p w:rsidR="00A916E7" w:rsidRDefault="00A916E7" w:rsidP="00A16735">
      <w:pPr>
        <w:spacing w:line="360" w:lineRule="auto"/>
        <w:jc w:val="both"/>
        <w:rPr>
          <w:rFonts w:cs="Times New Roman"/>
        </w:rPr>
      </w:pPr>
      <w:r>
        <w:rPr>
          <w:rFonts w:cs="Times New Roman"/>
        </w:rPr>
        <w:t>Indeed, it can be argued (see Ffrench-Davis and Griffith-Jones, 1994, op cit</w:t>
      </w:r>
      <w:r w:rsidR="00771EEB">
        <w:rPr>
          <w:rFonts w:cs="Times New Roman"/>
        </w:rPr>
        <w:t>.</w:t>
      </w:r>
      <w:r>
        <w:rPr>
          <w:rFonts w:cs="Times New Roman"/>
        </w:rPr>
        <w:t xml:space="preserve"> and 2011) that several pre-conditions need to be met so capital flows, especially debt based ones, contribute to  produce sustained growth, that is create a virtuous cycle: </w:t>
      </w:r>
    </w:p>
    <w:p w:rsidR="00A916E7" w:rsidRDefault="00A916E7" w:rsidP="00A916E7">
      <w:pPr>
        <w:pStyle w:val="ListParagraph"/>
        <w:numPr>
          <w:ilvl w:val="0"/>
          <w:numId w:val="2"/>
        </w:numPr>
        <w:spacing w:line="360" w:lineRule="auto"/>
        <w:jc w:val="both"/>
        <w:rPr>
          <w:rFonts w:cs="Times New Roman"/>
        </w:rPr>
      </w:pPr>
      <w:r>
        <w:rPr>
          <w:rFonts w:cs="Times New Roman"/>
        </w:rPr>
        <w:lastRenderedPageBreak/>
        <w:t>a high proportion of inflows should go into investment ;</w:t>
      </w:r>
    </w:p>
    <w:p w:rsidR="00A916E7" w:rsidRDefault="00A916E7" w:rsidP="00A916E7">
      <w:pPr>
        <w:pStyle w:val="ListParagraph"/>
        <w:numPr>
          <w:ilvl w:val="0"/>
          <w:numId w:val="2"/>
        </w:numPr>
        <w:spacing w:line="360" w:lineRule="auto"/>
        <w:jc w:val="both"/>
        <w:rPr>
          <w:rFonts w:cs="Times New Roman"/>
        </w:rPr>
      </w:pPr>
      <w:r>
        <w:rPr>
          <w:rFonts w:cs="Times New Roman"/>
        </w:rPr>
        <w:t>the additional investment should be efficient;</w:t>
      </w:r>
    </w:p>
    <w:p w:rsidR="00A916E7" w:rsidRDefault="00A916E7" w:rsidP="00A916E7">
      <w:pPr>
        <w:pStyle w:val="ListParagraph"/>
        <w:numPr>
          <w:ilvl w:val="0"/>
          <w:numId w:val="2"/>
        </w:numPr>
        <w:spacing w:line="360" w:lineRule="auto"/>
        <w:jc w:val="both"/>
        <w:rPr>
          <w:rFonts w:cs="Times New Roman"/>
        </w:rPr>
      </w:pPr>
      <w:r>
        <w:rPr>
          <w:rFonts w:cs="Times New Roman"/>
        </w:rPr>
        <w:t xml:space="preserve">a large proportion of the increased investment should go into </w:t>
      </w:r>
      <w:proofErr w:type="spellStart"/>
      <w:r>
        <w:rPr>
          <w:rFonts w:cs="Times New Roman"/>
        </w:rPr>
        <w:t>tradeables</w:t>
      </w:r>
      <w:proofErr w:type="spellEnd"/>
      <w:r>
        <w:rPr>
          <w:rFonts w:cs="Times New Roman"/>
        </w:rPr>
        <w:t>, to help generate the foreign currency required for servicing the debts</w:t>
      </w:r>
      <w:r w:rsidR="00771EEB">
        <w:rPr>
          <w:rFonts w:cs="Times New Roman"/>
        </w:rPr>
        <w:t>;</w:t>
      </w:r>
    </w:p>
    <w:p w:rsidR="00A916E7" w:rsidRDefault="00A916E7" w:rsidP="00A916E7">
      <w:pPr>
        <w:pStyle w:val="ListParagraph"/>
        <w:numPr>
          <w:ilvl w:val="0"/>
          <w:numId w:val="2"/>
        </w:numPr>
        <w:spacing w:line="360" w:lineRule="auto"/>
        <w:jc w:val="both"/>
        <w:rPr>
          <w:rFonts w:cs="Times New Roman"/>
        </w:rPr>
      </w:pPr>
      <w:proofErr w:type="gramStart"/>
      <w:r>
        <w:rPr>
          <w:rFonts w:cs="Times New Roman"/>
        </w:rPr>
        <w:t>creditors</w:t>
      </w:r>
      <w:proofErr w:type="gramEnd"/>
      <w:r>
        <w:rPr>
          <w:rFonts w:cs="Times New Roman"/>
        </w:rPr>
        <w:t xml:space="preserve"> and investors should be willing to provide stable and predictable capital flows on reasonable terms</w:t>
      </w:r>
      <w:r w:rsidR="00771EEB">
        <w:rPr>
          <w:rFonts w:cs="Times New Roman"/>
        </w:rPr>
        <w:t>.</w:t>
      </w:r>
    </w:p>
    <w:p w:rsidR="00A916E7" w:rsidRPr="00A916E7" w:rsidRDefault="00A916E7" w:rsidP="00A916E7">
      <w:pPr>
        <w:spacing w:line="360" w:lineRule="auto"/>
        <w:jc w:val="both"/>
        <w:rPr>
          <w:rFonts w:cs="Times New Roman"/>
        </w:rPr>
      </w:pPr>
      <w:r>
        <w:rPr>
          <w:rFonts w:cs="Times New Roman"/>
        </w:rPr>
        <w:t>Unfortunately, it is difficult and quite rare</w:t>
      </w:r>
      <w:r w:rsidR="00771EEB">
        <w:rPr>
          <w:rFonts w:cs="Times New Roman"/>
        </w:rPr>
        <w:t xml:space="preserve"> for these conditions to be met. I</w:t>
      </w:r>
      <w:r>
        <w:rPr>
          <w:rFonts w:cs="Times New Roman"/>
        </w:rPr>
        <w:t xml:space="preserve">f they are not met, </w:t>
      </w:r>
      <w:r w:rsidR="007E5F37">
        <w:rPr>
          <w:rFonts w:cs="Times New Roman"/>
        </w:rPr>
        <w:t>then the likelihood increases</w:t>
      </w:r>
      <w:r w:rsidR="00E04391">
        <w:rPr>
          <w:rFonts w:cs="Times New Roman"/>
        </w:rPr>
        <w:t xml:space="preserve"> </w:t>
      </w:r>
      <w:r w:rsidR="007E5F37">
        <w:rPr>
          <w:rFonts w:cs="Times New Roman"/>
        </w:rPr>
        <w:t>t</w:t>
      </w:r>
      <w:r w:rsidR="00E04391">
        <w:rPr>
          <w:rFonts w:cs="Times New Roman"/>
        </w:rPr>
        <w:t>hat if capital flows, especially if they are very la</w:t>
      </w:r>
      <w:r w:rsidR="00771EEB">
        <w:rPr>
          <w:rFonts w:cs="Times New Roman"/>
        </w:rPr>
        <w:t>rge and easily reversible, will</w:t>
      </w:r>
      <w:r w:rsidR="00E04391">
        <w:rPr>
          <w:rFonts w:cs="Times New Roman"/>
        </w:rPr>
        <w:t xml:space="preserve"> not contribute to sustained growth.</w:t>
      </w:r>
    </w:p>
    <w:p w:rsidR="0001138B" w:rsidRPr="00A16735" w:rsidRDefault="00771EEB" w:rsidP="00A16735">
      <w:pPr>
        <w:spacing w:line="360" w:lineRule="auto"/>
        <w:jc w:val="both"/>
        <w:rPr>
          <w:rFonts w:cs="Times New Roman"/>
        </w:rPr>
      </w:pPr>
      <w:r>
        <w:rPr>
          <w:rFonts w:cs="Times New Roman"/>
        </w:rPr>
        <w:t>As discussed in the i</w:t>
      </w:r>
      <w:r w:rsidR="0001138B" w:rsidRPr="00A16735">
        <w:rPr>
          <w:rFonts w:cs="Times New Roman"/>
        </w:rPr>
        <w:t xml:space="preserve">ntroduction, the essential problem is that capital flows, like finance in general, are pro-cyclical. Agents perceived as risky borrowers are subject to the strongest swings in the availability and costs of financing. These perceived “risky” borrowers include developing and emerging economies. Pro-cyclical capital flows are major determinants of cycles in emerging economies, and also </w:t>
      </w:r>
      <w:r w:rsidR="00E7174C" w:rsidRPr="00A16735">
        <w:rPr>
          <w:rFonts w:cs="Times New Roman"/>
        </w:rPr>
        <w:t xml:space="preserve">can </w:t>
      </w:r>
      <w:r w:rsidR="0001138B" w:rsidRPr="00A16735">
        <w:rPr>
          <w:rFonts w:cs="Times New Roman"/>
        </w:rPr>
        <w:t>contribute t</w:t>
      </w:r>
      <w:r w:rsidR="00E7174C" w:rsidRPr="00A16735">
        <w:rPr>
          <w:rFonts w:cs="Times New Roman"/>
        </w:rPr>
        <w:t>o cycles in low income countries</w:t>
      </w:r>
      <w:r w:rsidR="0001138B" w:rsidRPr="00A16735">
        <w:rPr>
          <w:rFonts w:cs="Times New Roman"/>
        </w:rPr>
        <w:t>.</w:t>
      </w:r>
      <w:r>
        <w:rPr>
          <w:rFonts w:cs="Times New Roman"/>
        </w:rPr>
        <w:t xml:space="preserve"> Currency mismatches,</w:t>
      </w:r>
      <w:r w:rsidR="00E7174C" w:rsidRPr="00A16735">
        <w:rPr>
          <w:rFonts w:cs="Times New Roman"/>
        </w:rPr>
        <w:t xml:space="preserve"> to an important extent </w:t>
      </w:r>
      <w:r w:rsidR="009C7C2E" w:rsidRPr="00A16735">
        <w:rPr>
          <w:rFonts w:cs="Times New Roman"/>
        </w:rPr>
        <w:t>originating in capital flows</w:t>
      </w:r>
      <w:r>
        <w:rPr>
          <w:rFonts w:cs="Times New Roman"/>
        </w:rPr>
        <w:t>,</w:t>
      </w:r>
      <w:r w:rsidR="009C7C2E" w:rsidRPr="00A16735">
        <w:rPr>
          <w:rFonts w:cs="Times New Roman"/>
        </w:rPr>
        <w:t xml:space="preserve"> are particularly damaging for emerging and developing economies. The massi</w:t>
      </w:r>
      <w:r>
        <w:rPr>
          <w:rFonts w:cs="Times New Roman"/>
        </w:rPr>
        <w:t>ve size of capital flows</w:t>
      </w:r>
      <w:r w:rsidR="009C7C2E" w:rsidRPr="00A16735">
        <w:rPr>
          <w:rFonts w:cs="Times New Roman"/>
        </w:rPr>
        <w:t xml:space="preserve"> in proportion to the size of their economies and financial sectors is also a very problematic aspect.</w:t>
      </w:r>
    </w:p>
    <w:p w:rsidR="0001138B" w:rsidRPr="00A16735" w:rsidRDefault="009C7C2E" w:rsidP="00A16735">
      <w:pPr>
        <w:spacing w:line="360" w:lineRule="auto"/>
        <w:jc w:val="both"/>
        <w:rPr>
          <w:rFonts w:cs="Times New Roman"/>
        </w:rPr>
      </w:pPr>
      <w:r w:rsidRPr="00A16735">
        <w:rPr>
          <w:rFonts w:cs="Times New Roman"/>
        </w:rPr>
        <w:t>An important feature of capital flows patterns, stressed for example by Ocampo</w:t>
      </w:r>
      <w:r w:rsidR="00394DFE" w:rsidRPr="00A16735">
        <w:rPr>
          <w:rFonts w:cs="Times New Roman"/>
        </w:rPr>
        <w:t xml:space="preserve"> </w:t>
      </w:r>
      <w:r w:rsidR="00771EEB">
        <w:rPr>
          <w:rFonts w:cs="Times New Roman"/>
        </w:rPr>
        <w:t>(</w:t>
      </w:r>
      <w:r w:rsidR="00394DFE" w:rsidRPr="00A16735">
        <w:rPr>
          <w:rFonts w:cs="Times New Roman"/>
        </w:rPr>
        <w:t>2</w:t>
      </w:r>
      <w:r w:rsidRPr="00A16735">
        <w:rPr>
          <w:rFonts w:cs="Times New Roman"/>
        </w:rPr>
        <w:t>012</w:t>
      </w:r>
      <w:r w:rsidR="00771EEB">
        <w:rPr>
          <w:rFonts w:cs="Times New Roman"/>
        </w:rPr>
        <w:t>)</w:t>
      </w:r>
      <w:r w:rsidRPr="00A16735">
        <w:rPr>
          <w:rFonts w:cs="Times New Roman"/>
        </w:rPr>
        <w:t>, is that the cyclical pattern of capital flows</w:t>
      </w:r>
      <w:r w:rsidR="00E04391">
        <w:rPr>
          <w:rFonts w:cs="Times New Roman"/>
        </w:rPr>
        <w:t xml:space="preserve"> </w:t>
      </w:r>
      <w:r w:rsidRPr="00A16735">
        <w:rPr>
          <w:rFonts w:cs="Times New Roman"/>
        </w:rPr>
        <w:t xml:space="preserve"> goes beyond volatility of short term flows, as e</w:t>
      </w:r>
      <w:r w:rsidR="00FC3651">
        <w:rPr>
          <w:rFonts w:cs="Times New Roman"/>
        </w:rPr>
        <w:t>ven more problematic are medium-</w:t>
      </w:r>
      <w:r w:rsidRPr="00A16735">
        <w:rPr>
          <w:rFonts w:cs="Times New Roman"/>
        </w:rPr>
        <w:t xml:space="preserve">term cycles in availability and cost of external finance. The </w:t>
      </w:r>
      <w:r w:rsidR="00FC3651">
        <w:rPr>
          <w:rFonts w:cs="Times New Roman"/>
        </w:rPr>
        <w:t>major problem with these medium-</w:t>
      </w:r>
      <w:r w:rsidRPr="00A16735">
        <w:rPr>
          <w:rFonts w:cs="Times New Roman"/>
        </w:rPr>
        <w:t>term cycles is their impact o</w:t>
      </w:r>
      <w:r w:rsidR="00394DFE" w:rsidRPr="00A16735">
        <w:rPr>
          <w:rFonts w:cs="Times New Roman"/>
        </w:rPr>
        <w:t xml:space="preserve">n key </w:t>
      </w:r>
      <w:r w:rsidR="00A71701" w:rsidRPr="00A16735">
        <w:rPr>
          <w:rFonts w:cs="Times New Roman"/>
        </w:rPr>
        <w:t>macro</w:t>
      </w:r>
      <w:r w:rsidR="00394DFE" w:rsidRPr="00A16735">
        <w:rPr>
          <w:rFonts w:cs="Times New Roman"/>
        </w:rPr>
        <w:t>-</w:t>
      </w:r>
      <w:r w:rsidR="00A71701" w:rsidRPr="00A16735">
        <w:rPr>
          <w:rFonts w:cs="Times New Roman"/>
        </w:rPr>
        <w:t>economic variables</w:t>
      </w:r>
      <w:r w:rsidRPr="00A16735">
        <w:rPr>
          <w:rFonts w:cs="Times New Roman"/>
        </w:rPr>
        <w:t>, such a</w:t>
      </w:r>
      <w:r w:rsidR="00394DFE" w:rsidRPr="00A16735">
        <w:rPr>
          <w:rFonts w:cs="Times New Roman"/>
        </w:rPr>
        <w:t>s exchange rates, interest rate</w:t>
      </w:r>
      <w:r w:rsidR="00FC3651">
        <w:rPr>
          <w:rFonts w:cs="Times New Roman"/>
        </w:rPr>
        <w:t>s and</w:t>
      </w:r>
      <w:r w:rsidR="00394DFE" w:rsidRPr="00A16735">
        <w:rPr>
          <w:rFonts w:cs="Times New Roman"/>
        </w:rPr>
        <w:t xml:space="preserve"> </w:t>
      </w:r>
      <w:r w:rsidRPr="00A16735">
        <w:rPr>
          <w:rFonts w:cs="Times New Roman"/>
        </w:rPr>
        <w:t>domestic credit and asset prices</w:t>
      </w:r>
      <w:r w:rsidR="00E7174C" w:rsidRPr="00A16735">
        <w:rPr>
          <w:rFonts w:cs="Times New Roman"/>
        </w:rPr>
        <w:t xml:space="preserve"> </w:t>
      </w:r>
      <w:r w:rsidR="00FC3651">
        <w:rPr>
          <w:rFonts w:cs="Times New Roman"/>
        </w:rPr>
        <w:t>(</w:t>
      </w:r>
      <w:r w:rsidR="00E7174C" w:rsidRPr="00A16735">
        <w:rPr>
          <w:rFonts w:cs="Times New Roman"/>
        </w:rPr>
        <w:t>especially property prices and stock markets</w:t>
      </w:r>
      <w:r w:rsidR="00FC3651">
        <w:rPr>
          <w:rFonts w:cs="Times New Roman"/>
        </w:rPr>
        <w:t>)</w:t>
      </w:r>
      <w:r w:rsidRPr="00A16735">
        <w:rPr>
          <w:rFonts w:cs="Times New Roman"/>
        </w:rPr>
        <w:t>. Instead of disciplin</w:t>
      </w:r>
      <w:r w:rsidR="00A71701" w:rsidRPr="00A16735">
        <w:rPr>
          <w:rFonts w:cs="Times New Roman"/>
        </w:rPr>
        <w:t>in</w:t>
      </w:r>
      <w:r w:rsidRPr="00A16735">
        <w:rPr>
          <w:rFonts w:cs="Times New Roman"/>
        </w:rPr>
        <w:t>g macro-economic policies</w:t>
      </w:r>
      <w:r w:rsidR="00FC3651">
        <w:rPr>
          <w:rFonts w:cs="Times New Roman"/>
        </w:rPr>
        <w:t>, as some theorists</w:t>
      </w:r>
      <w:r w:rsidR="00394DFE" w:rsidRPr="00A16735">
        <w:rPr>
          <w:rFonts w:cs="Times New Roman"/>
        </w:rPr>
        <w:t xml:space="preserve"> thought capital flows would</w:t>
      </w:r>
      <w:r w:rsidR="00E7174C" w:rsidRPr="00A16735">
        <w:rPr>
          <w:rFonts w:cs="Times New Roman"/>
        </w:rPr>
        <w:t xml:space="preserve"> </w:t>
      </w:r>
      <w:proofErr w:type="gramStart"/>
      <w:r w:rsidR="00E7174C" w:rsidRPr="00A16735">
        <w:rPr>
          <w:rFonts w:cs="Times New Roman"/>
        </w:rPr>
        <w:t>do</w:t>
      </w:r>
      <w:r w:rsidRPr="00A16735">
        <w:rPr>
          <w:rFonts w:cs="Times New Roman"/>
        </w:rPr>
        <w:t>,</w:t>
      </w:r>
      <w:proofErr w:type="gramEnd"/>
      <w:r w:rsidRPr="00A16735">
        <w:rPr>
          <w:rFonts w:cs="Times New Roman"/>
        </w:rPr>
        <w:t xml:space="preserve"> capital flows de facto </w:t>
      </w:r>
      <w:r w:rsidR="00A71701" w:rsidRPr="00A16735">
        <w:rPr>
          <w:rFonts w:cs="Times New Roman"/>
        </w:rPr>
        <w:t xml:space="preserve">may distort macroeconomic </w:t>
      </w:r>
      <w:r w:rsidR="00E7174C" w:rsidRPr="00A16735">
        <w:rPr>
          <w:rFonts w:cs="Times New Roman"/>
        </w:rPr>
        <w:t xml:space="preserve">variables and </w:t>
      </w:r>
      <w:r w:rsidR="00A71701" w:rsidRPr="00A16735">
        <w:rPr>
          <w:rFonts w:cs="Times New Roman"/>
        </w:rPr>
        <w:t xml:space="preserve">policies, and </w:t>
      </w:r>
      <w:r w:rsidRPr="00A16735">
        <w:rPr>
          <w:rFonts w:cs="Times New Roman"/>
        </w:rPr>
        <w:t xml:space="preserve">restrict the range of </w:t>
      </w:r>
      <w:r w:rsidR="00A71701" w:rsidRPr="00A16735">
        <w:rPr>
          <w:rFonts w:cs="Times New Roman"/>
        </w:rPr>
        <w:t>manoeuvre for counter-cy</w:t>
      </w:r>
      <w:r w:rsidR="00394DFE" w:rsidRPr="00A16735">
        <w:rPr>
          <w:rFonts w:cs="Times New Roman"/>
        </w:rPr>
        <w:t>c</w:t>
      </w:r>
      <w:r w:rsidR="00A71701" w:rsidRPr="00A16735">
        <w:rPr>
          <w:rFonts w:cs="Times New Roman"/>
        </w:rPr>
        <w:t>lical macroeconomic responses. For example, the overvaluation of exchange rates that occurs as a result of major capital inflows often lea</w:t>
      </w:r>
      <w:r w:rsidR="00394DFE" w:rsidRPr="00A16735">
        <w:rPr>
          <w:rFonts w:cs="Times New Roman"/>
        </w:rPr>
        <w:t>ds to large increases in current</w:t>
      </w:r>
      <w:r w:rsidR="00A71701" w:rsidRPr="00A16735">
        <w:rPr>
          <w:rFonts w:cs="Times New Roman"/>
        </w:rPr>
        <w:t xml:space="preserve"> account deficits, which in turn increases the likelihood of future costly crises. Overvalued exchan</w:t>
      </w:r>
      <w:r w:rsidR="006B258D">
        <w:rPr>
          <w:rFonts w:cs="Times New Roman"/>
        </w:rPr>
        <w:t>ge rates also discourage</w:t>
      </w:r>
      <w:r w:rsidR="00917B0A">
        <w:rPr>
          <w:rFonts w:cs="Times New Roman"/>
        </w:rPr>
        <w:t xml:space="preserve"> exports</w:t>
      </w:r>
      <w:r w:rsidR="006B258D">
        <w:rPr>
          <w:rFonts w:cs="Times New Roman"/>
        </w:rPr>
        <w:t>,</w:t>
      </w:r>
      <w:r w:rsidR="00A71701" w:rsidRPr="00A16735">
        <w:rPr>
          <w:rFonts w:cs="Times New Roman"/>
        </w:rPr>
        <w:t xml:space="preserve"> with adverse impact</w:t>
      </w:r>
      <w:r w:rsidR="00917B0A">
        <w:rPr>
          <w:rFonts w:cs="Times New Roman"/>
        </w:rPr>
        <w:t>s</w:t>
      </w:r>
      <w:r w:rsidR="00A71701" w:rsidRPr="00A16735">
        <w:rPr>
          <w:rFonts w:cs="Times New Roman"/>
        </w:rPr>
        <w:t xml:space="preserve"> on growth</w:t>
      </w:r>
      <w:r w:rsidR="00E04391">
        <w:rPr>
          <w:rFonts w:cs="Times New Roman"/>
        </w:rPr>
        <w:t>, as exports are meant to be one of the most dynamic sectors in a market economy</w:t>
      </w:r>
      <w:r w:rsidR="00A71701" w:rsidRPr="00A16735">
        <w:rPr>
          <w:rFonts w:cs="Times New Roman"/>
        </w:rPr>
        <w:t>.</w:t>
      </w:r>
      <w:r w:rsidR="00E04391">
        <w:rPr>
          <w:rFonts w:cs="Times New Roman"/>
        </w:rPr>
        <w:t xml:space="preserve"> Furthermore</w:t>
      </w:r>
      <w:r w:rsidR="006B258D">
        <w:rPr>
          <w:rFonts w:cs="Times New Roman"/>
        </w:rPr>
        <w:t>, the additional volatility of key macro-economic variables produced by volatile capital flows can have a negative effect on private investment, as they create uncertainty about future profitability</w:t>
      </w:r>
      <w:r w:rsidR="0035507C">
        <w:rPr>
          <w:rFonts w:cs="Times New Roman"/>
        </w:rPr>
        <w:t>.</w:t>
      </w:r>
    </w:p>
    <w:p w:rsidR="00A71701" w:rsidRPr="00A16735" w:rsidRDefault="00A71701" w:rsidP="00A16735">
      <w:pPr>
        <w:spacing w:line="360" w:lineRule="auto"/>
        <w:jc w:val="both"/>
        <w:rPr>
          <w:rFonts w:cs="Times New Roman"/>
        </w:rPr>
      </w:pPr>
      <w:r w:rsidRPr="00A16735">
        <w:rPr>
          <w:rFonts w:cs="Times New Roman"/>
        </w:rPr>
        <w:lastRenderedPageBreak/>
        <w:t>During boom periods, capital account regulations can be justified as a way to help mac</w:t>
      </w:r>
      <w:r w:rsidR="0035507C">
        <w:rPr>
          <w:rFonts w:cs="Times New Roman"/>
        </w:rPr>
        <w:t>ro-</w:t>
      </w:r>
      <w:r w:rsidRPr="00A16735">
        <w:rPr>
          <w:rFonts w:cs="Times New Roman"/>
        </w:rPr>
        <w:t xml:space="preserve">economic authorities manage booms, by </w:t>
      </w:r>
      <w:r w:rsidR="00E7174C" w:rsidRPr="00A16735">
        <w:rPr>
          <w:rFonts w:cs="Times New Roman"/>
        </w:rPr>
        <w:t>helping avoid</w:t>
      </w:r>
      <w:r w:rsidRPr="00A16735">
        <w:rPr>
          <w:rFonts w:cs="Times New Roman"/>
        </w:rPr>
        <w:t xml:space="preserve"> excessive exchange rate appreciations, reducing risks of la</w:t>
      </w:r>
      <w:r w:rsidR="0093153F" w:rsidRPr="00A16735">
        <w:rPr>
          <w:rFonts w:cs="Times New Roman"/>
        </w:rPr>
        <w:t xml:space="preserve">rge current account deficits as well as </w:t>
      </w:r>
      <w:r w:rsidRPr="00A16735">
        <w:rPr>
          <w:rFonts w:cs="Times New Roman"/>
        </w:rPr>
        <w:t>expensive self-insurance, via accumulation of foreign exchan</w:t>
      </w:r>
      <w:r w:rsidR="00394DFE" w:rsidRPr="00A16735">
        <w:rPr>
          <w:rFonts w:cs="Times New Roman"/>
        </w:rPr>
        <w:t xml:space="preserve">ge reserves. During crises, </w:t>
      </w:r>
      <w:r w:rsidRPr="00A16735">
        <w:rPr>
          <w:rFonts w:cs="Times New Roman"/>
        </w:rPr>
        <w:t>regulations on outflows may avoid or diminish capital flight by resi</w:t>
      </w:r>
      <w:r w:rsidR="001F2CDB" w:rsidRPr="00A16735">
        <w:rPr>
          <w:rFonts w:cs="Times New Roman"/>
        </w:rPr>
        <w:t>d</w:t>
      </w:r>
      <w:r w:rsidRPr="00A16735">
        <w:rPr>
          <w:rFonts w:cs="Times New Roman"/>
        </w:rPr>
        <w:t>ents or foreigners.</w:t>
      </w:r>
      <w:r w:rsidR="001F2CDB" w:rsidRPr="00A16735">
        <w:rPr>
          <w:rFonts w:cs="Times New Roman"/>
        </w:rPr>
        <w:t xml:space="preserve"> </w:t>
      </w:r>
      <w:r w:rsidRPr="00A16735">
        <w:rPr>
          <w:rFonts w:cs="Times New Roman"/>
        </w:rPr>
        <w:t xml:space="preserve">These regulations are widely seen to play a dual role: as a complementary macroeconomic policy tool and to help improve the structure of liabilities, by discouraging </w:t>
      </w:r>
      <w:r w:rsidR="0076488F">
        <w:rPr>
          <w:rFonts w:cs="Times New Roman"/>
        </w:rPr>
        <w:t>short-t</w:t>
      </w:r>
      <w:r w:rsidR="001F2CDB" w:rsidRPr="00A16735">
        <w:rPr>
          <w:rFonts w:cs="Times New Roman"/>
        </w:rPr>
        <w:t>erm, and thu</w:t>
      </w:r>
      <w:r w:rsidR="00394DFE" w:rsidRPr="00A16735">
        <w:rPr>
          <w:rFonts w:cs="Times New Roman"/>
        </w:rPr>
        <w:t>s more reversible</w:t>
      </w:r>
      <w:r w:rsidR="0076488F">
        <w:rPr>
          <w:rFonts w:cs="Times New Roman"/>
        </w:rPr>
        <w:t>,</w:t>
      </w:r>
      <w:r w:rsidR="00394DFE" w:rsidRPr="00A16735">
        <w:rPr>
          <w:rFonts w:cs="Times New Roman"/>
        </w:rPr>
        <w:t xml:space="preserve"> capital flows </w:t>
      </w:r>
      <w:r w:rsidR="001F2CDB" w:rsidRPr="00A16735">
        <w:rPr>
          <w:rFonts w:cs="Times New Roman"/>
        </w:rPr>
        <w:t>(</w:t>
      </w:r>
      <w:r w:rsidR="0076488F">
        <w:rPr>
          <w:rFonts w:cs="Times New Roman"/>
        </w:rPr>
        <w:t>see for the riskiness of short-</w:t>
      </w:r>
      <w:r w:rsidR="001F2CDB" w:rsidRPr="00A16735">
        <w:rPr>
          <w:rFonts w:cs="Times New Roman"/>
        </w:rPr>
        <w:t xml:space="preserve">term capital flows, </w:t>
      </w:r>
      <w:proofErr w:type="spellStart"/>
      <w:r w:rsidR="001F2CDB" w:rsidRPr="00A16735">
        <w:rPr>
          <w:rFonts w:cs="Times New Roman"/>
        </w:rPr>
        <w:t>Rodrik</w:t>
      </w:r>
      <w:proofErr w:type="spellEnd"/>
      <w:r w:rsidR="001F2CDB" w:rsidRPr="00A16735">
        <w:rPr>
          <w:rFonts w:cs="Times New Roman"/>
        </w:rPr>
        <w:t xml:space="preserve"> and Velasco,</w:t>
      </w:r>
      <w:r w:rsidR="0093153F" w:rsidRPr="00A16735">
        <w:rPr>
          <w:rFonts w:cs="Times New Roman"/>
        </w:rPr>
        <w:t xml:space="preserve"> </w:t>
      </w:r>
      <w:r w:rsidR="001F2CDB" w:rsidRPr="00A16735">
        <w:rPr>
          <w:rFonts w:cs="Times New Roman"/>
        </w:rPr>
        <w:t>2000).</w:t>
      </w:r>
    </w:p>
    <w:p w:rsidR="001F2CDB" w:rsidRPr="00A16735" w:rsidRDefault="001F2CDB" w:rsidP="00A16735">
      <w:pPr>
        <w:spacing w:line="360" w:lineRule="auto"/>
      </w:pPr>
      <w:r w:rsidRPr="00A16735">
        <w:t>However, as mentioned in the Introduction, an interesting recent insight on private capital flows  is provided by the IMF</w:t>
      </w:r>
      <w:r w:rsidR="0076488F">
        <w:t xml:space="preserve"> </w:t>
      </w:r>
      <w:r w:rsidRPr="00A16735">
        <w:t>(2011), which gives evidence that financial market volatility has spread to transactions  and flows which are generally considered to be less volatile (such as foreign direct investment).</w:t>
      </w:r>
      <w:r w:rsidR="0076488F">
        <w:t xml:space="preserve"> </w:t>
      </w:r>
      <w:r w:rsidRPr="00A16735">
        <w:t>One of the key ways in which the “hierarchy of volatility” of capital flows has been eroded is via the fac</w:t>
      </w:r>
      <w:r w:rsidR="0076488F">
        <w:t>t that foreign direct investors</w:t>
      </w:r>
      <w:r w:rsidRPr="00A16735">
        <w:t>, as well as other actors, use derivativ</w:t>
      </w:r>
      <w:r w:rsidR="006A0CB9">
        <w:t>es markets, both to hedge their</w:t>
      </w:r>
      <w:r w:rsidRPr="00A16735">
        <w:t xml:space="preserve"> foreign </w:t>
      </w:r>
      <w:r w:rsidR="0076488F">
        <w:t>exchang</w:t>
      </w:r>
      <w:r w:rsidR="006A0CB9">
        <w:t>e risk</w:t>
      </w:r>
      <w:r w:rsidR="0076488F">
        <w:t xml:space="preserve"> and to speculate. E</w:t>
      </w:r>
      <w:r w:rsidRPr="00A16735">
        <w:t>specially if they do this pro-cyclically, this can imply that the net effect of foreign direct investment</w:t>
      </w:r>
      <w:r w:rsidR="0076488F">
        <w:t xml:space="preserve"> </w:t>
      </w:r>
      <w:r w:rsidRPr="00A16735">
        <w:t>(though having other positive effects) can contribute to boom and</w:t>
      </w:r>
      <w:r w:rsidR="006A0CB9">
        <w:t xml:space="preserve"> bust cycles of capital flows (for more, </w:t>
      </w:r>
      <w:r w:rsidRPr="00A16735">
        <w:t>see Griffith-Jones and Dodd, 2006 and 2007).</w:t>
      </w:r>
      <w:r w:rsidR="006A0CB9">
        <w:t xml:space="preserve"> </w:t>
      </w:r>
      <w:r w:rsidRPr="00A16735">
        <w:t>The importance of derivatives instruments (such as non-deliverable forwards for foreign exchange), widely used in the ca</w:t>
      </w:r>
      <w:r w:rsidR="006A0CB9">
        <w:t>rry trade on currencies implies</w:t>
      </w:r>
      <w:r w:rsidR="00C77FE0">
        <w:t xml:space="preserve"> new challenges for</w:t>
      </w:r>
      <w:r w:rsidR="00EC614E">
        <w:t xml:space="preserve"> capital account regulations</w:t>
      </w:r>
      <w:r w:rsidRPr="00A16735">
        <w:t xml:space="preserve"> so they are effective, e</w:t>
      </w:r>
      <w:r w:rsidR="00EC614E">
        <w:t>specially in emerging economies. C</w:t>
      </w:r>
      <w:r w:rsidRPr="00A16735">
        <w:t xml:space="preserve">ountries like Brazil and South Korea have de- facto started to </w:t>
      </w:r>
      <w:r w:rsidR="0038476B" w:rsidRPr="00A16735">
        <w:t>regulate derivatives on capital flows, and it is important to evaluate their effectiveness, as well as learn lessons from them.</w:t>
      </w:r>
    </w:p>
    <w:p w:rsidR="001121DF" w:rsidRDefault="00C77FE0" w:rsidP="00A16735">
      <w:pPr>
        <w:spacing w:line="360" w:lineRule="auto"/>
        <w:jc w:val="both"/>
      </w:pPr>
      <w:r>
        <w:t>A</w:t>
      </w:r>
      <w:r w:rsidR="00BC6324" w:rsidRPr="00A16735">
        <w:t>ft</w:t>
      </w:r>
      <w:r w:rsidR="00EF5204" w:rsidRPr="00A16735">
        <w:t>er the global financial crisis</w:t>
      </w:r>
      <w:r>
        <w:t xml:space="preserve"> the Basle Committee for Banking and the Financial Stability Board</w:t>
      </w:r>
      <w:r w:rsidR="00FD1E9C" w:rsidRPr="00A16735">
        <w:t xml:space="preserve"> led major initiatives to re-regulate finance, mainly at the national level. However, </w:t>
      </w:r>
      <w:r w:rsidR="00775209" w:rsidRPr="00A16735">
        <w:t xml:space="preserve">the risks associated with </w:t>
      </w:r>
      <w:r w:rsidR="00775209" w:rsidRPr="00A16735">
        <w:rPr>
          <w:i/>
        </w:rPr>
        <w:t>cross-border</w:t>
      </w:r>
      <w:r w:rsidR="00775209" w:rsidRPr="00A16735">
        <w:t xml:space="preserve"> capital flows</w:t>
      </w:r>
      <w:r w:rsidR="00FD1E9C" w:rsidRPr="00A16735">
        <w:t xml:space="preserve"> were left </w:t>
      </w:r>
      <w:r w:rsidR="0001138B" w:rsidRPr="00A16735">
        <w:t xml:space="preserve">out </w:t>
      </w:r>
      <w:r w:rsidR="00FD1E9C" w:rsidRPr="00A16735">
        <w:t>almost entirely</w:t>
      </w:r>
      <w:r w:rsidR="00EC614E">
        <w:t xml:space="preserve"> both from </w:t>
      </w:r>
      <w:r>
        <w:t>that</w:t>
      </w:r>
      <w:r w:rsidR="0001138B" w:rsidRPr="00A16735">
        <w:t xml:space="preserve"> regulatory discussion,</w:t>
      </w:r>
      <w:r w:rsidR="00775209" w:rsidRPr="00A16735">
        <w:t xml:space="preserve"> </w:t>
      </w:r>
      <w:r>
        <w:t>and related analytical analysis</w:t>
      </w:r>
      <w:r w:rsidR="00EC614E">
        <w:t xml:space="preserve">, </w:t>
      </w:r>
      <w:r w:rsidR="00775209" w:rsidRPr="00A16735">
        <w:t xml:space="preserve">almost as if cross-border </w:t>
      </w:r>
      <w:r w:rsidR="00EC614E">
        <w:t>finance was not part of finance</w:t>
      </w:r>
      <w:r w:rsidR="0001138B" w:rsidRPr="00A16735">
        <w:t xml:space="preserve"> (Ocampo, 2013).</w:t>
      </w:r>
      <w:r w:rsidR="00EC614E">
        <w:t xml:space="preserve"> </w:t>
      </w:r>
      <w:r w:rsidR="00C61976" w:rsidRPr="00A16735">
        <w:t>In fact, it seems best to analys</w:t>
      </w:r>
      <w:r w:rsidR="00BC6324" w:rsidRPr="00A16735">
        <w:t>e the impacts of the domestic financial sector as well as internat</w:t>
      </w:r>
      <w:r w:rsidR="00EC614E">
        <w:t>ional capital flows to and from</w:t>
      </w:r>
      <w:r>
        <w:t xml:space="preserve"> emerging and developing </w:t>
      </w:r>
      <w:r w:rsidR="00BC6324" w:rsidRPr="00A16735">
        <w:t xml:space="preserve">countries in an integrated fashion, and to think of their regulation also in an integrated framework. </w:t>
      </w:r>
      <w:r w:rsidR="00EC614E">
        <w:t>This includes giving</w:t>
      </w:r>
      <w:r w:rsidR="00775209" w:rsidRPr="00A16735">
        <w:t xml:space="preserve"> attention to regulations on transactions in foreign currencies in domestic markets, as well as regul</w:t>
      </w:r>
      <w:r w:rsidR="00EC614E">
        <w:t xml:space="preserve">ations on capital flows proper - </w:t>
      </w:r>
      <w:r w:rsidR="00775209" w:rsidRPr="00A16735">
        <w:t>generally called “capit</w:t>
      </w:r>
      <w:r w:rsidR="00EC614E">
        <w:t xml:space="preserve">al controls” but which could </w:t>
      </w:r>
      <w:r w:rsidR="00775209" w:rsidRPr="00A16735">
        <w:t>more adequately be called capital account regulations</w:t>
      </w:r>
      <w:r w:rsidR="00143880" w:rsidRPr="00A16735">
        <w:t xml:space="preserve"> or ma</w:t>
      </w:r>
      <w:r w:rsidR="00BC6324" w:rsidRPr="00A16735">
        <w:t>nagement</w:t>
      </w:r>
      <w:r w:rsidR="00775209" w:rsidRPr="00A16735">
        <w:t xml:space="preserve">. </w:t>
      </w:r>
      <w:r w:rsidR="00143880" w:rsidRPr="00A16735">
        <w:t>Regulations on capital flows can be complementary</w:t>
      </w:r>
      <w:r w:rsidR="00C61976" w:rsidRPr="00A16735">
        <w:t xml:space="preserve"> with</w:t>
      </w:r>
      <w:r w:rsidR="00143880" w:rsidRPr="00A16735">
        <w:t>, or even be partly substituted by</w:t>
      </w:r>
      <w:r w:rsidR="0093153F" w:rsidRPr="00A16735">
        <w:t>,</w:t>
      </w:r>
      <w:r w:rsidR="00143880" w:rsidRPr="00A16735">
        <w:t xml:space="preserve"> domestic prudential regulations when they involve domestic financial intermediation (e</w:t>
      </w:r>
      <w:r w:rsidR="00EC614E">
        <w:t>.</w:t>
      </w:r>
      <w:r w:rsidR="00143880" w:rsidRPr="00A16735">
        <w:t>g</w:t>
      </w:r>
      <w:r w:rsidR="00EC614E">
        <w:t>.</w:t>
      </w:r>
      <w:r w:rsidR="00143880" w:rsidRPr="00A16735">
        <w:t xml:space="preserve"> of currency mismatches), but not when they involve access to external </w:t>
      </w:r>
      <w:r w:rsidR="00143880" w:rsidRPr="00A16735">
        <w:lastRenderedPageBreak/>
        <w:t xml:space="preserve">capital markets by non-financial corporates. </w:t>
      </w:r>
      <w:r w:rsidR="00C61976" w:rsidRPr="00A16735">
        <w:t>For this reason, it is important to coordinate domestic and capital account regulations nationally, and their discussion internationally.</w:t>
      </w:r>
    </w:p>
    <w:p w:rsidR="00775209" w:rsidRPr="00A16735" w:rsidRDefault="00775209" w:rsidP="00A16735">
      <w:pPr>
        <w:spacing w:line="360" w:lineRule="auto"/>
        <w:jc w:val="both"/>
      </w:pPr>
      <w:r w:rsidRPr="00A16735">
        <w:t xml:space="preserve">Oversight of this issue was </w:t>
      </w:r>
      <w:r w:rsidR="0093153F" w:rsidRPr="00A16735">
        <w:t xml:space="preserve"> initially a </w:t>
      </w:r>
      <w:r w:rsidRPr="00A16735">
        <w:t xml:space="preserve"> gap in the efforts to </w:t>
      </w:r>
      <w:r w:rsidR="001121DF">
        <w:t>strengthen</w:t>
      </w:r>
      <w:r w:rsidRPr="00A16735">
        <w:t xml:space="preserve"> financial regulatio</w:t>
      </w:r>
      <w:r w:rsidR="001121DF">
        <w:t>n overall</w:t>
      </w:r>
      <w:r w:rsidR="00143880" w:rsidRPr="00A16735">
        <w:t xml:space="preserve"> </w:t>
      </w:r>
      <w:r w:rsidR="0093153F" w:rsidRPr="00A16735">
        <w:t xml:space="preserve">in the wake of the global financial crisis, </w:t>
      </w:r>
      <w:r w:rsidR="00143880" w:rsidRPr="00A16735">
        <w:t xml:space="preserve">and one which is </w:t>
      </w:r>
      <w:r w:rsidRPr="00A16735">
        <w:t>particularly critical for emerging and developing countries, as capital account volatility plays a major role in determining boom-bust financial cycles</w:t>
      </w:r>
      <w:r w:rsidR="001121DF">
        <w:t xml:space="preserve"> and therefore</w:t>
      </w:r>
      <w:r w:rsidRPr="00A16735">
        <w:t xml:space="preserve"> macroeconomic </w:t>
      </w:r>
      <w:r w:rsidR="001121DF">
        <w:t>as well as financial</w:t>
      </w:r>
      <w:r w:rsidR="00B30746">
        <w:t xml:space="preserve"> stability </w:t>
      </w:r>
      <w:r w:rsidR="001121DF">
        <w:t>risks</w:t>
      </w:r>
      <w:r w:rsidR="00EF5204" w:rsidRPr="00A16735">
        <w:t>. It is very encouraging that t</w:t>
      </w:r>
      <w:r w:rsidR="001121DF">
        <w:t>his issue was acknowledged</w:t>
      </w:r>
      <w:r w:rsidRPr="00A16735">
        <w:t xml:space="preserve"> by the IMF in 2011-2012, </w:t>
      </w:r>
      <w:r w:rsidR="00EF5204" w:rsidRPr="00A16735">
        <w:t xml:space="preserve">which came to recognize the appropriateness of capital account regulations and </w:t>
      </w:r>
      <w:r w:rsidR="00FD1E9C" w:rsidRPr="00A16735">
        <w:t xml:space="preserve">recommended a set of guidelines for their implementation. The IMF </w:t>
      </w:r>
      <w:r w:rsidR="00BC6324" w:rsidRPr="00A16735">
        <w:t xml:space="preserve">rightly </w:t>
      </w:r>
      <w:r w:rsidR="00FD1E9C" w:rsidRPr="00A16735">
        <w:t>conceived this regulation or man</w:t>
      </w:r>
      <w:r w:rsidR="00C61976" w:rsidRPr="00A16735">
        <w:t xml:space="preserve">agement of the capital account </w:t>
      </w:r>
      <w:r w:rsidR="001D48A5" w:rsidRPr="00A16735">
        <w:t xml:space="preserve">as part of </w:t>
      </w:r>
      <w:r w:rsidR="00FD1E9C" w:rsidRPr="00A16735">
        <w:t xml:space="preserve">broader measures </w:t>
      </w:r>
      <w:r w:rsidRPr="00A16735">
        <w:t>on macro</w:t>
      </w:r>
      <w:r w:rsidR="00BC6324" w:rsidRPr="00A16735">
        <w:t>-</w:t>
      </w:r>
      <w:r w:rsidRPr="00A16735">
        <w:t xml:space="preserve">prudential regulations. </w:t>
      </w:r>
    </w:p>
    <w:p w:rsidR="00775209" w:rsidRPr="00A16735" w:rsidRDefault="00775209" w:rsidP="00A16735">
      <w:pPr>
        <w:spacing w:line="360" w:lineRule="auto"/>
        <w:jc w:val="both"/>
      </w:pPr>
      <w:r w:rsidRPr="00A16735">
        <w:t>The official IMF documents on this topic (IMF, 2011 and 2012) underscore the positive role that regulatio</w:t>
      </w:r>
      <w:r w:rsidR="00143880" w:rsidRPr="00A16735">
        <w:t xml:space="preserve">ns on capital inflows can have </w:t>
      </w:r>
      <w:r w:rsidRPr="00A16735">
        <w:t xml:space="preserve">but take a </w:t>
      </w:r>
      <w:r w:rsidR="007915A6" w:rsidRPr="00A16735">
        <w:t xml:space="preserve">more </w:t>
      </w:r>
      <w:r w:rsidRPr="00A16735">
        <w:t xml:space="preserve">critical view of regulation of outflows. In the first case, they consider that regulations are effective in changing the composition of capital inflows toward less volatile sources </w:t>
      </w:r>
      <w:r w:rsidR="007915A6" w:rsidRPr="00A16735">
        <w:t xml:space="preserve">of finance, and thus have </w:t>
      </w:r>
      <w:r w:rsidRPr="00A16735">
        <w:t>st</w:t>
      </w:r>
      <w:r w:rsidR="00143880" w:rsidRPr="00A16735">
        <w:t>ability effects, but are more sc</w:t>
      </w:r>
      <w:r w:rsidRPr="00A16735">
        <w:t>eptical on their macroeconomic effects. In this regard, they consider that there is stronger evidence on the capacity of regulati</w:t>
      </w:r>
      <w:r w:rsidR="00143880" w:rsidRPr="00A16735">
        <w:t xml:space="preserve">ons </w:t>
      </w:r>
      <w:r w:rsidR="00C61976" w:rsidRPr="00A16735">
        <w:t xml:space="preserve">to increase the room of </w:t>
      </w:r>
      <w:r w:rsidR="003209C0" w:rsidRPr="00A16735">
        <w:t>manoeuvre</w:t>
      </w:r>
      <w:r w:rsidRPr="00A16735">
        <w:t xml:space="preserve"> for restrictive monetary policies but that there is very little evidence that they reduce the total amount of inflows or that they affect the exchange rate. In the case of regulations on outflows, the IMF considers that they are generally ineffective. The official documents have been backed by significant technical </w:t>
      </w:r>
      <w:r w:rsidR="001D48A5" w:rsidRPr="00A16735">
        <w:t xml:space="preserve">work in the institution, several of which have been </w:t>
      </w:r>
      <w:r w:rsidRPr="00A16735">
        <w:t>favo</w:t>
      </w:r>
      <w:r w:rsidR="001D48A5" w:rsidRPr="00A16735">
        <w:t>u</w:t>
      </w:r>
      <w:r w:rsidRPr="00A16735">
        <w:t>rable to the active use of these interventions (</w:t>
      </w:r>
      <w:proofErr w:type="spellStart"/>
      <w:r w:rsidRPr="00827998">
        <w:t>Ostry</w:t>
      </w:r>
      <w:proofErr w:type="spellEnd"/>
      <w:r w:rsidRPr="00827998">
        <w:t xml:space="preserve"> et al.</w:t>
      </w:r>
      <w:r w:rsidR="0015380E" w:rsidRPr="00827998">
        <w:t>, 2010</w:t>
      </w:r>
      <w:r w:rsidRPr="00A16735">
        <w:t>)</w:t>
      </w:r>
      <w:r w:rsidR="001D48A5" w:rsidRPr="00A16735">
        <w:t xml:space="preserve">. The IMF documents quoted above </w:t>
      </w:r>
      <w:r w:rsidR="0089419C" w:rsidRPr="00A16735">
        <w:t>have also argued that capital controls</w:t>
      </w:r>
      <w:r w:rsidRPr="00A16735">
        <w:t xml:space="preserve"> were effective in reducing the vulnerability of emerging economies to the North-Atlantic global financial crisis.</w:t>
      </w:r>
    </w:p>
    <w:p w:rsidR="00775209" w:rsidRPr="00A16735" w:rsidRDefault="00775209" w:rsidP="00A16735">
      <w:pPr>
        <w:spacing w:line="360" w:lineRule="auto"/>
        <w:jc w:val="both"/>
      </w:pPr>
      <w:r w:rsidRPr="00A16735">
        <w:t xml:space="preserve">On the basis of this analysis, the IMF proposed some guidelines on the use of these regulations. These guidelines indicate, correctly, that these regulations should be seen as a complement and not as a substitute for macroeconomic policy. However, they visualize them as a sort of “intervention of last resort”, once countries have exhausted all other alternatives to manage booms, thus </w:t>
      </w:r>
      <w:r w:rsidR="0089419C" w:rsidRPr="00A16735">
        <w:t xml:space="preserve">first </w:t>
      </w:r>
      <w:r w:rsidRPr="00A16735">
        <w:t>letting exchan</w:t>
      </w:r>
      <w:r w:rsidR="0089419C" w:rsidRPr="00A16735">
        <w:t xml:space="preserve">ge rates appreciate, accumulate </w:t>
      </w:r>
      <w:r w:rsidRPr="00A16735">
        <w:t>forei</w:t>
      </w:r>
      <w:r w:rsidR="00B30746">
        <w:t>gn exchange reserves and adopt</w:t>
      </w:r>
      <w:r w:rsidRPr="00A16735">
        <w:t xml:space="preserve"> </w:t>
      </w:r>
      <w:proofErr w:type="spellStart"/>
      <w:r w:rsidRPr="00A16735">
        <w:t>contractionary</w:t>
      </w:r>
      <w:proofErr w:type="spellEnd"/>
      <w:r w:rsidRPr="00A16735">
        <w:t xml:space="preserve"> fiscal and moneta</w:t>
      </w:r>
      <w:r w:rsidR="0093153F" w:rsidRPr="00A16735">
        <w:t>ry policies; the latter</w:t>
      </w:r>
      <w:r w:rsidRPr="00A16735">
        <w:t xml:space="preserve"> is paradoxical, as a restrictive monetary policy may actually encoura</w:t>
      </w:r>
      <w:r w:rsidR="0089419C" w:rsidRPr="00A16735">
        <w:t xml:space="preserve">ge additional capital inflows. </w:t>
      </w:r>
      <w:r w:rsidRPr="00A16735">
        <w:t>The final “institutional view” adopted in 2012 (IMF, 2012) was somewhat more favo</w:t>
      </w:r>
      <w:r w:rsidR="001D48A5" w:rsidRPr="00A16735">
        <w:t>u</w:t>
      </w:r>
      <w:r w:rsidRPr="00A16735">
        <w:t>rable to the use of these regulations</w:t>
      </w:r>
      <w:r w:rsidR="00827998">
        <w:t>,</w:t>
      </w:r>
      <w:r w:rsidRPr="00A16735">
        <w:t xml:space="preserve"> but </w:t>
      </w:r>
      <w:r w:rsidR="0089419C" w:rsidRPr="00A16735">
        <w:t xml:space="preserve"> acco</w:t>
      </w:r>
      <w:r w:rsidR="00827998">
        <w:t>rding to some analysts the</w:t>
      </w:r>
      <w:r w:rsidR="0089419C" w:rsidRPr="00A16735">
        <w:t xml:space="preserve"> IMF </w:t>
      </w:r>
      <w:r w:rsidRPr="00A16735">
        <w:t>did not go far enough in dispelling the conception of them as interventions of last resort (</w:t>
      </w:r>
      <w:r w:rsidRPr="001D3157">
        <w:t>Gallagher and Ocampo, 2013).</w:t>
      </w:r>
    </w:p>
    <w:p w:rsidR="00775209" w:rsidRPr="00A16735" w:rsidRDefault="00C61976" w:rsidP="00A16735">
      <w:pPr>
        <w:spacing w:line="360" w:lineRule="auto"/>
        <w:jc w:val="both"/>
      </w:pPr>
      <w:r w:rsidRPr="00A16735">
        <w:lastRenderedPageBreak/>
        <w:t>Many experts, particularly from emerging economies</w:t>
      </w:r>
      <w:r w:rsidR="00775209" w:rsidRPr="00A16735">
        <w:t xml:space="preserve"> consider th</w:t>
      </w:r>
      <w:r w:rsidR="0027149D" w:rsidRPr="00A16735">
        <w:t xml:space="preserve">at capital account regulations </w:t>
      </w:r>
      <w:r w:rsidR="00DB3359">
        <w:t xml:space="preserve"> should be seen</w:t>
      </w:r>
      <w:r w:rsidR="00775209" w:rsidRPr="00A16735">
        <w:t xml:space="preserve"> as part of the normal toolkit of macroeconomic authorities and that they should be used simultaneously with other interventions to avoid the potential overheating of the domestic economy and overvaluation of the exchange rate generated by excessive capital inflows</w:t>
      </w:r>
      <w:r w:rsidR="00B30746">
        <w:t xml:space="preserve"> as soon as a surge becomes apparent</w:t>
      </w:r>
      <w:r w:rsidR="00775209" w:rsidRPr="00A16735">
        <w:t xml:space="preserve"> (see, for example, the </w:t>
      </w:r>
      <w:r w:rsidR="001C33F0">
        <w:t>three chapters</w:t>
      </w:r>
      <w:r w:rsidR="00775209" w:rsidRPr="00A16735">
        <w:t xml:space="preserve"> </w:t>
      </w:r>
      <w:r w:rsidR="00827998">
        <w:t>by Mohan</w:t>
      </w:r>
      <w:r w:rsidR="0027149D" w:rsidRPr="00A16735">
        <w:t>,</w:t>
      </w:r>
      <w:r w:rsidRPr="00A16735">
        <w:t xml:space="preserve"> </w:t>
      </w:r>
      <w:proofErr w:type="spellStart"/>
      <w:r w:rsidR="0027149D" w:rsidRPr="00A16735">
        <w:t>Nogueira</w:t>
      </w:r>
      <w:proofErr w:type="spellEnd"/>
      <w:r w:rsidR="0027149D" w:rsidRPr="00A16735">
        <w:t xml:space="preserve"> </w:t>
      </w:r>
      <w:r w:rsidR="00247272" w:rsidRPr="00A16735">
        <w:t xml:space="preserve"> Batista </w:t>
      </w:r>
      <w:proofErr w:type="spellStart"/>
      <w:r w:rsidR="00247272" w:rsidRPr="00A16735">
        <w:t>Jr</w:t>
      </w:r>
      <w:proofErr w:type="spellEnd"/>
      <w:r w:rsidR="00247272" w:rsidRPr="00A16735">
        <w:t xml:space="preserve"> </w:t>
      </w:r>
      <w:r w:rsidR="0027149D" w:rsidRPr="00A16735">
        <w:t xml:space="preserve"> and Zhang </w:t>
      </w:r>
      <w:r w:rsidR="00F9293C" w:rsidRPr="00A16735">
        <w:t xml:space="preserve">in </w:t>
      </w:r>
      <w:r w:rsidR="00775209" w:rsidRPr="00A16735">
        <w:t xml:space="preserve">Gallagher, </w:t>
      </w:r>
      <w:r w:rsidR="0089419C" w:rsidRPr="00A16735">
        <w:t>Griffith-Jones and Ocampo, 2012</w:t>
      </w:r>
      <w:r w:rsidR="00775209" w:rsidRPr="00A16735">
        <w:t>). In fact, they should be conceived as part of a continuum that goes from regulations of domestic finance in domestic currency, domestic financial transactions in foreign currencies and cross-border flows, which should be regulated in a way that is consistent with the characteristic of different financi</w:t>
      </w:r>
      <w:r w:rsidR="00B30746">
        <w:t>al systems.</w:t>
      </w:r>
      <w:r w:rsidR="00775209" w:rsidRPr="00A16735">
        <w:t xml:space="preserve"> </w:t>
      </w:r>
      <w:r w:rsidR="0093153F" w:rsidRPr="00A16735">
        <w:t xml:space="preserve"> </w:t>
      </w:r>
      <w:r w:rsidR="00775209" w:rsidRPr="00A16735">
        <w:t xml:space="preserve"> </w:t>
      </w:r>
    </w:p>
    <w:p w:rsidR="00CC26A7" w:rsidRPr="00A16735" w:rsidRDefault="00E502B7" w:rsidP="00A16735">
      <w:pPr>
        <w:spacing w:line="360" w:lineRule="auto"/>
        <w:jc w:val="both"/>
      </w:pPr>
      <w:r>
        <w:t>More generally, the</w:t>
      </w:r>
      <w:r w:rsidR="00CC26A7" w:rsidRPr="00A16735">
        <w:t xml:space="preserve"> careful analysis of experiences with capital account regulations l</w:t>
      </w:r>
      <w:r>
        <w:t>eads to a number of conclusions by a range of observers</w:t>
      </w:r>
      <w:r w:rsidR="00CC26A7" w:rsidRPr="00A16735">
        <w:t xml:space="preserve"> (including Ocampo, 2012, op </w:t>
      </w:r>
      <w:proofErr w:type="spellStart"/>
      <w:r w:rsidR="00CC26A7" w:rsidRPr="00A16735">
        <w:t>cit</w:t>
      </w:r>
      <w:proofErr w:type="spellEnd"/>
      <w:r w:rsidR="00CC26A7" w:rsidRPr="00A16735">
        <w:t xml:space="preserve">; IMF 2011, op </w:t>
      </w:r>
      <w:proofErr w:type="spellStart"/>
      <w:r w:rsidR="00CC26A7" w:rsidRPr="00A16735">
        <w:t>cit</w:t>
      </w:r>
      <w:proofErr w:type="spellEnd"/>
      <w:r w:rsidR="00CC26A7" w:rsidRPr="00A16735">
        <w:t xml:space="preserve">; </w:t>
      </w:r>
      <w:proofErr w:type="spellStart"/>
      <w:r w:rsidR="00CC26A7" w:rsidRPr="00A16735">
        <w:t>Ostry</w:t>
      </w:r>
      <w:proofErr w:type="spellEnd"/>
      <w:r w:rsidR="00CC26A7" w:rsidRPr="00A16735">
        <w:t xml:space="preserve"> et</w:t>
      </w:r>
      <w:r>
        <w:t xml:space="preserve"> al, 2010; </w:t>
      </w:r>
      <w:proofErr w:type="spellStart"/>
      <w:r>
        <w:t>Magud</w:t>
      </w:r>
      <w:proofErr w:type="spellEnd"/>
      <w:r>
        <w:t xml:space="preserve"> and Reinhart, 2007, and</w:t>
      </w:r>
      <w:r w:rsidR="00CC26A7" w:rsidRPr="00A16735">
        <w:t xml:space="preserve"> Kaw</w:t>
      </w:r>
      <w:r w:rsidR="00BA19FA" w:rsidRPr="00A16735">
        <w:t xml:space="preserve">ai and </w:t>
      </w:r>
      <w:proofErr w:type="spellStart"/>
      <w:r w:rsidR="00BA19FA" w:rsidRPr="00A16735">
        <w:t>Lamberte</w:t>
      </w:r>
      <w:proofErr w:type="spellEnd"/>
      <w:r>
        <w:t xml:space="preserve">, </w:t>
      </w:r>
      <w:r w:rsidR="00B30746">
        <w:t xml:space="preserve">2010). </w:t>
      </w:r>
      <w:r w:rsidR="00BA19FA" w:rsidRPr="00A16735">
        <w:t>Firstly, for capital account regulations to work, the authorities need to have good information</w:t>
      </w:r>
      <w:r w:rsidR="0027149D" w:rsidRPr="00A16735">
        <w:t xml:space="preserve"> about flows</w:t>
      </w:r>
      <w:r>
        <w:t xml:space="preserve"> as well as</w:t>
      </w:r>
      <w:r w:rsidR="00BA19FA" w:rsidRPr="00A16735">
        <w:t xml:space="preserve"> administrative capacity to manage them, which includes the ability (and willingness) to close loopholes, especially by responding to </w:t>
      </w:r>
      <w:r>
        <w:t xml:space="preserve">the </w:t>
      </w:r>
      <w:r w:rsidR="00BA19FA" w:rsidRPr="00A16735">
        <w:t>use of instruments like derivatives designed to circumvent or avoid them. Ocampo</w:t>
      </w:r>
      <w:r w:rsidR="0027149D" w:rsidRPr="00A16735">
        <w:t xml:space="preserve"> </w:t>
      </w:r>
      <w:r w:rsidR="00BA19FA" w:rsidRPr="00A16735">
        <w:t>(2012) persuasively argues that permanent regulatory regimes that tighten or loosen regulations in response to external conditions may be better than building them up from scratch</w:t>
      </w:r>
      <w:r w:rsidR="0027149D" w:rsidRPr="00A16735">
        <w:t xml:space="preserve"> in times of shocks</w:t>
      </w:r>
      <w:r>
        <w:t>. B</w:t>
      </w:r>
      <w:r w:rsidR="00B30746">
        <w:t xml:space="preserve">asic </w:t>
      </w:r>
      <w:r w:rsidR="0089419C" w:rsidRPr="00A16735">
        <w:t>problems of data</w:t>
      </w:r>
      <w:r w:rsidR="00B30746">
        <w:t xml:space="preserve"> collection are </w:t>
      </w:r>
      <w:proofErr w:type="gramStart"/>
      <w:r w:rsidR="00B30746">
        <w:t>key</w:t>
      </w:r>
      <w:proofErr w:type="gramEnd"/>
      <w:r w:rsidR="00B30746">
        <w:t xml:space="preserve"> for any regulation, and would be better overcome with a permanent register</w:t>
      </w:r>
      <w:r w:rsidR="00BA19FA" w:rsidRPr="00A16735">
        <w:t xml:space="preserve">. </w:t>
      </w:r>
      <w:r w:rsidR="004E667C" w:rsidRPr="00A16735">
        <w:t xml:space="preserve">Indeed capital account regulations are difficult to implement if systematic recording of flows are not available. </w:t>
      </w:r>
      <w:r w:rsidR="00BA19FA" w:rsidRPr="00A16735">
        <w:t>Secondly, regulations help inc</w:t>
      </w:r>
      <w:r w:rsidR="00B30746">
        <w:t xml:space="preserve">rease monetary autonomy, </w:t>
      </w:r>
      <w:r w:rsidR="00BA19FA" w:rsidRPr="00A16735">
        <w:t>and improve debt profiles, with the latter reducing ext</w:t>
      </w:r>
      <w:r w:rsidR="004E667C" w:rsidRPr="00A16735">
        <w:t xml:space="preserve">ernal fragility. </w:t>
      </w:r>
      <w:r w:rsidR="00BA19FA" w:rsidRPr="00A16735">
        <w:t xml:space="preserve">Some of these effects may be temporary, due to greater evasion, as time passes. Thirdly, and very important, there is agreement that </w:t>
      </w:r>
      <w:r w:rsidR="004E667C" w:rsidRPr="00A16735">
        <w:t xml:space="preserve">capital account </w:t>
      </w:r>
      <w:r w:rsidR="00BA19FA" w:rsidRPr="00A16735">
        <w:t>regulations are a complement and NOT a substitute to sound macroeconomic policies</w:t>
      </w:r>
    </w:p>
    <w:p w:rsidR="00775209" w:rsidRPr="00A16735" w:rsidRDefault="00775209" w:rsidP="00A16735">
      <w:pPr>
        <w:spacing w:line="360" w:lineRule="auto"/>
        <w:jc w:val="both"/>
      </w:pPr>
      <w:r w:rsidRPr="00A16735">
        <w:t>Under Brazil’s initiative, the G-20 approved in 2011 an alternative set of guidelines</w:t>
      </w:r>
      <w:r w:rsidR="00E502B7">
        <w:t xml:space="preserve"> to those of the IMF </w:t>
      </w:r>
      <w:r w:rsidRPr="00A16735">
        <w:t xml:space="preserve">that have a </w:t>
      </w:r>
      <w:r w:rsidR="00DB3359">
        <w:t xml:space="preserve">somewhat </w:t>
      </w:r>
      <w:r w:rsidRPr="00A16735">
        <w:t>more pragmatic view of the use of thes</w:t>
      </w:r>
      <w:r w:rsidR="00962C17">
        <w:t>e regulations.</w:t>
      </w:r>
      <w:r w:rsidRPr="00A16735">
        <w:t xml:space="preserve"> Gallagher, </w:t>
      </w:r>
      <w:r w:rsidR="00920DF2">
        <w:t>Griffith-Jones and Ocampo (2012: b</w:t>
      </w:r>
      <w:r w:rsidRPr="00A16735">
        <w:t>ox 2) proposed an</w:t>
      </w:r>
      <w:r w:rsidR="00E502B7">
        <w:t>other</w:t>
      </w:r>
      <w:r w:rsidRPr="00A16735">
        <w:t xml:space="preserve"> alternative set of guidelines, which also emphasize that they are a complement and not a substitute of other macroeconomic policies, and that they should be adjusted dy</w:t>
      </w:r>
      <w:r w:rsidR="001D48A5" w:rsidRPr="00A16735">
        <w:t>namically to avoid their evasion</w:t>
      </w:r>
      <w:r w:rsidR="00E502B7">
        <w:t>. They underscore</w:t>
      </w:r>
      <w:r w:rsidR="00247272" w:rsidRPr="00A16735">
        <w:t xml:space="preserve"> </w:t>
      </w:r>
      <w:r w:rsidRPr="00A16735">
        <w:t xml:space="preserve">that there </w:t>
      </w:r>
      <w:r w:rsidR="001D48A5" w:rsidRPr="00A16735">
        <w:t xml:space="preserve">is no reason </w:t>
      </w:r>
      <w:r w:rsidRPr="00A16735">
        <w:t>to</w:t>
      </w:r>
      <w:r w:rsidR="00247272" w:rsidRPr="00A16735">
        <w:t xml:space="preserve"> </w:t>
      </w:r>
      <w:r w:rsidRPr="00A16735">
        <w:t>favo</w:t>
      </w:r>
      <w:r w:rsidR="001D48A5" w:rsidRPr="00A16735">
        <w:t>u</w:t>
      </w:r>
      <w:r w:rsidRPr="00A16735">
        <w:t>r price-based (taxes or unremunerated reserve requirements) over quantitative or administrative regulations (limits or prohibition of cert</w:t>
      </w:r>
      <w:r w:rsidR="004E667C" w:rsidRPr="00A16735">
        <w:t>ai</w:t>
      </w:r>
      <w:r w:rsidR="00E502B7">
        <w:t xml:space="preserve">n transactions), if the latter </w:t>
      </w:r>
      <w:r w:rsidR="004E667C" w:rsidRPr="00A16735">
        <w:t xml:space="preserve">are </w:t>
      </w:r>
      <w:r w:rsidRPr="00A16735">
        <w:t>more effective in practice</w:t>
      </w:r>
      <w:r w:rsidR="001D48A5" w:rsidRPr="00A16735">
        <w:t xml:space="preserve"> in certain cases</w:t>
      </w:r>
      <w:r w:rsidR="00F9293C" w:rsidRPr="00A16735">
        <w:t>.</w:t>
      </w:r>
      <w:r w:rsidR="00247272" w:rsidRPr="00A16735">
        <w:t xml:space="preserve"> </w:t>
      </w:r>
      <w:r w:rsidR="000E3957">
        <w:t xml:space="preserve"> </w:t>
      </w:r>
    </w:p>
    <w:p w:rsidR="00A23AC3" w:rsidRDefault="00247272" w:rsidP="00A16735">
      <w:pPr>
        <w:spacing w:line="360" w:lineRule="auto"/>
        <w:jc w:val="both"/>
      </w:pPr>
      <w:r w:rsidRPr="00A16735">
        <w:lastRenderedPageBreak/>
        <w:t>Though it is very positive that there is a great deal of agreement (including by the IMF) on the desirability of discouraging excessive inflows</w:t>
      </w:r>
      <w:r w:rsidR="004E61F3">
        <w:t xml:space="preserve"> by capital account regulations</w:t>
      </w:r>
      <w:r w:rsidRPr="00A16735">
        <w:t xml:space="preserve"> </w:t>
      </w:r>
      <w:r w:rsidR="00CC26A7" w:rsidRPr="00A16735">
        <w:t xml:space="preserve">(which will be very helpful for when the next surge of major capital inflows hit emerging </w:t>
      </w:r>
      <w:r w:rsidR="0089419C" w:rsidRPr="00A16735">
        <w:t xml:space="preserve"> and developing </w:t>
      </w:r>
      <w:r w:rsidR="00CC26A7" w:rsidRPr="00A16735">
        <w:t xml:space="preserve">economies), </w:t>
      </w:r>
      <w:r w:rsidRPr="00A16735">
        <w:t>the main policy c</w:t>
      </w:r>
      <w:r w:rsidR="004E61F3">
        <w:t>hallenge for emerging economies</w:t>
      </w:r>
      <w:r w:rsidRPr="00A16735">
        <w:t xml:space="preserve"> (and possibly also for low income countries, which have seen very large inflows in recent years, especially via bonds, see for exam</w:t>
      </w:r>
      <w:r w:rsidR="004E667C" w:rsidRPr="00A16735">
        <w:t>ple, Massa, op cit</w:t>
      </w:r>
      <w:r w:rsidR="004E61F3">
        <w:t>.</w:t>
      </w:r>
      <w:r w:rsidRPr="00A16735">
        <w:t>) may be what to do about capital outflows in the wake of “tapering” of Q</w:t>
      </w:r>
      <w:r w:rsidR="00BF1EED">
        <w:t xml:space="preserve">uantitative </w:t>
      </w:r>
      <w:r w:rsidRPr="00A16735">
        <w:t>E</w:t>
      </w:r>
      <w:r w:rsidR="00BF1EED">
        <w:t>asing</w:t>
      </w:r>
      <w:r w:rsidR="0075701A">
        <w:t xml:space="preserve"> (QE)</w:t>
      </w:r>
      <w:r w:rsidRPr="00A16735">
        <w:t xml:space="preserve"> in the USA, </w:t>
      </w:r>
      <w:r w:rsidR="000E3957">
        <w:t xml:space="preserve"> especially </w:t>
      </w:r>
      <w:r w:rsidR="0075701A">
        <w:t>once it starts.</w:t>
      </w:r>
    </w:p>
    <w:p w:rsidR="00247272" w:rsidRPr="00A16735" w:rsidRDefault="00247272" w:rsidP="00A16735">
      <w:pPr>
        <w:spacing w:line="360" w:lineRule="auto"/>
        <w:jc w:val="both"/>
      </w:pPr>
      <w:r w:rsidRPr="00A16735">
        <w:t>Though regulations on capital outflows may be part of the policy response, they may not be enough, particularly as on the whole regulations o</w:t>
      </w:r>
      <w:r w:rsidR="00A23AC3">
        <w:t>n capital outflows are</w:t>
      </w:r>
      <w:r w:rsidRPr="00A16735">
        <w:t xml:space="preserve"> more difficult to work effectively in the moment of major pressure for outflows, even though there are some exceptions, like the Malaysian controls on outflows implemented during the East Asian crisis, which are widely seen as relatively effective. It is to </w:t>
      </w:r>
      <w:r w:rsidR="0089419C" w:rsidRPr="00A16735">
        <w:t>b</w:t>
      </w:r>
      <w:r w:rsidRPr="00A16735">
        <w:t>e hoped that emerging and developing economies will not feel obliged to use contractionary fiscal</w:t>
      </w:r>
      <w:r w:rsidR="0075701A">
        <w:t xml:space="preserve"> and monetary policies</w:t>
      </w:r>
      <w:r w:rsidRPr="00A16735">
        <w:t xml:space="preserve"> as</w:t>
      </w:r>
      <w:r w:rsidR="0075701A">
        <w:t xml:space="preserve"> the</w:t>
      </w:r>
      <w:r w:rsidRPr="00A16735">
        <w:t xml:space="preserve"> only alternative to discourage or compensate for capital outflows. Here lies a potential large challenge</w:t>
      </w:r>
      <w:r w:rsidR="000E3957">
        <w:t xml:space="preserve"> for the near to medium term</w:t>
      </w:r>
      <w:r w:rsidRPr="00A16735">
        <w:t>.</w:t>
      </w:r>
    </w:p>
    <w:p w:rsidR="0027149D" w:rsidRPr="00A16735" w:rsidRDefault="0027149D" w:rsidP="00A16735">
      <w:pPr>
        <w:spacing w:line="360" w:lineRule="auto"/>
        <w:jc w:val="both"/>
      </w:pPr>
      <w:r w:rsidRPr="00A16735">
        <w:t xml:space="preserve">A final point on capital flow management is that </w:t>
      </w:r>
      <w:r w:rsidR="005348C4" w:rsidRPr="00A16735">
        <w:t xml:space="preserve">measures taken by recipient emerging and developing countries may not be enough, as the sheer wall of money coming towards them </w:t>
      </w:r>
      <w:r w:rsidR="0075701A">
        <w:t>is at times so large. Therefore</w:t>
      </w:r>
      <w:r w:rsidR="005348C4" w:rsidRPr="00A16735">
        <w:t xml:space="preserve"> it may be desirable to complement </w:t>
      </w:r>
      <w:r w:rsidR="000E3957">
        <w:t xml:space="preserve">capital account regulation </w:t>
      </w:r>
      <w:r w:rsidR="005348C4" w:rsidRPr="00A16735">
        <w:t xml:space="preserve">measures taken by recipient countries, with those taken by source countries, especially the US. Though the scale may be greater now, there have been previous episodes of very loose monetary policy contributing to surges in capital flows to developing and emerging economies. For this reason, </w:t>
      </w:r>
      <w:r w:rsidR="000E3957">
        <w:t>the author of this paper and a</w:t>
      </w:r>
      <w:r w:rsidR="005348C4" w:rsidRPr="00A16735">
        <w:t xml:space="preserve"> co-author (</w:t>
      </w:r>
      <w:proofErr w:type="spellStart"/>
      <w:r w:rsidR="005348C4" w:rsidRPr="00A16735">
        <w:t>D’Arista</w:t>
      </w:r>
      <w:proofErr w:type="spellEnd"/>
      <w:r w:rsidR="005348C4" w:rsidRPr="00A16735">
        <w:t xml:space="preserve"> and Griffith-Jones, 1998) argued for measures to discourage large portfolio outflows from source countries, via unremunerated reserve requirements on such outflows.</w:t>
      </w:r>
    </w:p>
    <w:p w:rsidR="005348C4" w:rsidRDefault="005348C4" w:rsidP="00A16735">
      <w:pPr>
        <w:spacing w:line="360" w:lineRule="auto"/>
        <w:jc w:val="both"/>
      </w:pPr>
      <w:r w:rsidRPr="00A16735">
        <w:t>In the recent period of very loose US monetary policy</w:t>
      </w:r>
      <w:r w:rsidR="003D0BFD" w:rsidRPr="00A16735">
        <w:t xml:space="preserve"> </w:t>
      </w:r>
      <w:r w:rsidRPr="00A16735">
        <w:t xml:space="preserve">(including QE), </w:t>
      </w:r>
      <w:r w:rsidR="000E3957">
        <w:t xml:space="preserve">following the global financial crisis, </w:t>
      </w:r>
      <w:r w:rsidRPr="00A16735">
        <w:t xml:space="preserve">the US could </w:t>
      </w:r>
      <w:r w:rsidR="003D0BFD" w:rsidRPr="00A16735">
        <w:t xml:space="preserve"> have </w:t>
      </w:r>
      <w:r w:rsidRPr="00A16735">
        <w:t>introduce</w:t>
      </w:r>
      <w:r w:rsidR="003D0BFD" w:rsidRPr="00A16735">
        <w:t>d</w:t>
      </w:r>
      <w:r w:rsidRPr="00A16735">
        <w:t xml:space="preserve"> measures to discourage the carry trade flows going to the rest of the world, especially to de</w:t>
      </w:r>
      <w:r w:rsidR="0075701A">
        <w:t>veloping and emerging economies</w:t>
      </w:r>
      <w:r w:rsidRPr="00A16735">
        <w:t xml:space="preserve"> </w:t>
      </w:r>
      <w:r w:rsidR="0089419C" w:rsidRPr="00A16735">
        <w:t>(Gallagher and Griffith-Jones, 2012).</w:t>
      </w:r>
      <w:r w:rsidRPr="00A16735">
        <w:t>This could be done by taxing such flows (on the spot market), as well as putting higher margin requirements on derivatives that mimic spot transactions</w:t>
      </w:r>
      <w:r w:rsidR="003D0BFD" w:rsidRPr="00A16735">
        <w:t>; alternatively such foreign exchange derivatives could be taxed to a level equivalent to a tax on foreign exchange spot transactions. Such measures would have not just benefitted emerging and devel</w:t>
      </w:r>
      <w:r w:rsidR="0075701A">
        <w:t>oping economies, but would also</w:t>
      </w:r>
      <w:r w:rsidR="000E3957">
        <w:t xml:space="preserve"> have </w:t>
      </w:r>
      <w:r w:rsidR="0075701A">
        <w:t>benefitted the US economy</w:t>
      </w:r>
      <w:r w:rsidR="003D0BFD" w:rsidRPr="00A16735">
        <w:t xml:space="preserve">, as  the purpose of </w:t>
      </w:r>
      <w:r w:rsidR="0075701A">
        <w:t>the monetary easing  was to</w:t>
      </w:r>
      <w:r w:rsidR="003D0BFD" w:rsidRPr="00A16735">
        <w:t xml:space="preserve"> encourage more lending and risk-taking in the US</w:t>
      </w:r>
      <w:r w:rsidR="000E3957">
        <w:t>, for example higher bank lending t</w:t>
      </w:r>
      <w:r w:rsidR="0075701A">
        <w:t>o US SMEs</w:t>
      </w:r>
      <w:r w:rsidR="000E3957">
        <w:t xml:space="preserve">. Therefore such measures to discourage outflows </w:t>
      </w:r>
      <w:r w:rsidR="003D0BFD" w:rsidRPr="00A16735">
        <w:t>would</w:t>
      </w:r>
      <w:r w:rsidR="0075701A">
        <w:t xml:space="preserve"> have implied a WIN-WIN element, </w:t>
      </w:r>
      <w:r w:rsidR="000E3957">
        <w:t>ben</w:t>
      </w:r>
      <w:r w:rsidR="00DB3359">
        <w:t>efiting</w:t>
      </w:r>
      <w:r w:rsidR="0075701A">
        <w:t xml:space="preserve"> recipient</w:t>
      </w:r>
      <w:r w:rsidR="00DB3359">
        <w:t xml:space="preserve"> emerging </w:t>
      </w:r>
      <w:r w:rsidR="0075701A">
        <w:t xml:space="preserve">and </w:t>
      </w:r>
      <w:r w:rsidR="0075701A">
        <w:lastRenderedPageBreak/>
        <w:t>developing countries</w:t>
      </w:r>
      <w:r w:rsidR="000E3957">
        <w:t xml:space="preserve"> as wel</w:t>
      </w:r>
      <w:r w:rsidR="0075701A">
        <w:t>l as source developed countries. T</w:t>
      </w:r>
      <w:r w:rsidR="000E3957">
        <w:t xml:space="preserve">his is the </w:t>
      </w:r>
      <w:r w:rsidR="003D0BFD" w:rsidRPr="00A16735">
        <w:t xml:space="preserve">reason why many observers, including </w:t>
      </w:r>
      <w:r w:rsidR="000E3957">
        <w:t xml:space="preserve">Olivier </w:t>
      </w:r>
      <w:r w:rsidR="003D0BFD" w:rsidRPr="00A16735">
        <w:t>Bl</w:t>
      </w:r>
      <w:r w:rsidR="0075701A">
        <w:t>anchard</w:t>
      </w:r>
      <w:r w:rsidR="003D0BFD" w:rsidRPr="00A16735">
        <w:t xml:space="preserve">, Chief Economist at the IMF, found </w:t>
      </w:r>
      <w:r w:rsidR="000E3957">
        <w:t xml:space="preserve">the case for measures in source countries </w:t>
      </w:r>
      <w:r w:rsidR="003D0BFD" w:rsidRPr="00A16735">
        <w:t>persuasive. Naturally, when US monetary policy is tapered, as pointed out, the policy dilemma will be the opposite: how to avoid large outflows form emerging and developing countries</w:t>
      </w:r>
      <w:r w:rsidR="00A16735">
        <w:t>.</w:t>
      </w:r>
    </w:p>
    <w:p w:rsidR="001B4E44" w:rsidRDefault="001B4E44" w:rsidP="00A16735">
      <w:pPr>
        <w:spacing w:line="360" w:lineRule="auto"/>
        <w:jc w:val="both"/>
        <w:rPr>
          <w:b/>
        </w:rPr>
      </w:pPr>
      <w:r w:rsidRPr="001B4E44">
        <w:rPr>
          <w:b/>
        </w:rPr>
        <w:t>Bibliography</w:t>
      </w:r>
    </w:p>
    <w:p w:rsidR="001B4E44" w:rsidRDefault="001B4E44" w:rsidP="001B4E44">
      <w:proofErr w:type="spellStart"/>
      <w:r>
        <w:t>Agosin</w:t>
      </w:r>
      <w:proofErr w:type="spellEnd"/>
      <w:r>
        <w:t xml:space="preserve">, Manuel R. and </w:t>
      </w:r>
      <w:proofErr w:type="spellStart"/>
      <w:r>
        <w:t>Huaita</w:t>
      </w:r>
      <w:proofErr w:type="spellEnd"/>
      <w:r>
        <w:t xml:space="preserve">, F. 2012. ‘Overreaction in capital flows to emerging markets: Booms and sudden stops,’ </w:t>
      </w:r>
      <w:r>
        <w:rPr>
          <w:i/>
        </w:rPr>
        <w:t>Journal of International Money and Finance</w:t>
      </w:r>
      <w:r>
        <w:t xml:space="preserve">, Elsevier, 31 (5), pp.1140-1155. </w:t>
      </w:r>
    </w:p>
    <w:p w:rsidR="001B4E44" w:rsidRDefault="001B4E44" w:rsidP="001B4E44">
      <w:r>
        <w:t xml:space="preserve">Arcand, J.L., Berkes, E. and Panissa, U. 2012. </w:t>
      </w:r>
      <w:proofErr w:type="gramStart"/>
      <w:r>
        <w:t>‘Too Much Finance?’</w:t>
      </w:r>
      <w:proofErr w:type="gramEnd"/>
      <w:r>
        <w:t xml:space="preserve"> </w:t>
      </w:r>
      <w:r>
        <w:rPr>
          <w:i/>
        </w:rPr>
        <w:t>IMF Working Paper</w:t>
      </w:r>
      <w:r>
        <w:t xml:space="preserve"> No. 12/161. https://www.imf.org/external/pubs/ft/wp/2012/wp12161.pdf</w:t>
      </w:r>
    </w:p>
    <w:p w:rsidR="001B4E44" w:rsidRDefault="001B4E44" w:rsidP="001B4E44">
      <w:proofErr w:type="gramStart"/>
      <w:r>
        <w:t>Bagyenda, J., Brownbridge, M. and Kasekende, L. A. 2011.</w:t>
      </w:r>
      <w:proofErr w:type="gramEnd"/>
      <w:r>
        <w:t xml:space="preserve"> ‘Basel III and the global reform of financial regulation: how should Africa respond? A bank regulator’s perspective,’ New Rules for Global Finance. http://www.new-rules.org/storage/documents/g20-fsb-imf/kasakende.docx</w:t>
      </w:r>
    </w:p>
    <w:p w:rsidR="001B4E44" w:rsidRDefault="001B4E44" w:rsidP="001B4E44">
      <w:pPr>
        <w:jc w:val="both"/>
        <w:rPr>
          <w:rFonts w:cs="Times New Roman"/>
        </w:rPr>
      </w:pPr>
      <w:r>
        <w:rPr>
          <w:rFonts w:cs="Times New Roman"/>
        </w:rPr>
        <w:t xml:space="preserve">Banco de Moçambique. 2013. </w:t>
      </w:r>
      <w:r>
        <w:rPr>
          <w:rFonts w:cs="Times New Roman"/>
          <w:i/>
        </w:rPr>
        <w:t>Statistics, Overall Credit Statistics by Purpose</w:t>
      </w:r>
      <w:r>
        <w:rPr>
          <w:rFonts w:cs="Times New Roman"/>
        </w:rPr>
        <w:t xml:space="preserve">, available online under: </w:t>
      </w:r>
      <w:hyperlink r:id="rId19" w:history="1">
        <w:r>
          <w:rPr>
            <w:rStyle w:val="Hyperlink"/>
            <w:rFonts w:cs="Times New Roman"/>
          </w:rPr>
          <w:t>http://www.bancomoc.mz/Default_en.aspx</w:t>
        </w:r>
      </w:hyperlink>
      <w:r>
        <w:rPr>
          <w:rFonts w:cs="Times New Roman"/>
        </w:rPr>
        <w:t xml:space="preserve">. </w:t>
      </w:r>
    </w:p>
    <w:p w:rsidR="001B4E44" w:rsidRDefault="001B4E44" w:rsidP="001B4E44">
      <w:pPr>
        <w:jc w:val="both"/>
        <w:rPr>
          <w:rFonts w:cs="Times New Roman"/>
        </w:rPr>
      </w:pPr>
      <w:proofErr w:type="gramStart"/>
      <w:r>
        <w:rPr>
          <w:rFonts w:cs="Times New Roman"/>
        </w:rPr>
        <w:t>Bank of Mauritius.</w:t>
      </w:r>
      <w:proofErr w:type="gramEnd"/>
      <w:r>
        <w:rPr>
          <w:rFonts w:cs="Times New Roman"/>
        </w:rPr>
        <w:t xml:space="preserve"> 2013. </w:t>
      </w:r>
      <w:r>
        <w:rPr>
          <w:rFonts w:cs="Times New Roman"/>
          <w:i/>
        </w:rPr>
        <w:t>Financial Stability Report</w:t>
      </w:r>
      <w:r>
        <w:rPr>
          <w:rFonts w:cs="Times New Roman"/>
        </w:rPr>
        <w:t xml:space="preserve">, Port Louis, Mauritius. </w:t>
      </w:r>
    </w:p>
    <w:p w:rsidR="001B4E44" w:rsidRDefault="001B4E44" w:rsidP="001B4E44">
      <w:pPr>
        <w:jc w:val="both"/>
        <w:rPr>
          <w:rFonts w:cs="Times New Roman"/>
          <w:noProof/>
        </w:rPr>
      </w:pPr>
      <w:r>
        <w:rPr>
          <w:rFonts w:cs="Times New Roman"/>
        </w:rPr>
        <w:t xml:space="preserve">Beck, T., </w:t>
      </w:r>
      <w:proofErr w:type="spellStart"/>
      <w:r>
        <w:rPr>
          <w:rFonts w:cs="Times New Roman"/>
        </w:rPr>
        <w:t>Munzele</w:t>
      </w:r>
      <w:proofErr w:type="spellEnd"/>
      <w:r>
        <w:rPr>
          <w:rFonts w:cs="Times New Roman"/>
        </w:rPr>
        <w:t xml:space="preserve"> </w:t>
      </w:r>
      <w:proofErr w:type="spellStart"/>
      <w:r>
        <w:rPr>
          <w:rFonts w:cs="Times New Roman"/>
        </w:rPr>
        <w:t>Maimbo</w:t>
      </w:r>
      <w:proofErr w:type="spellEnd"/>
      <w:r>
        <w:rPr>
          <w:rFonts w:cs="Times New Roman"/>
        </w:rPr>
        <w:t xml:space="preserve">, S., Faye, I. and </w:t>
      </w:r>
      <w:proofErr w:type="spellStart"/>
      <w:r>
        <w:rPr>
          <w:rFonts w:cs="Times New Roman"/>
        </w:rPr>
        <w:t>Triki</w:t>
      </w:r>
      <w:proofErr w:type="spellEnd"/>
      <w:r>
        <w:rPr>
          <w:rFonts w:cs="Times New Roman"/>
        </w:rPr>
        <w:t xml:space="preserve">, T. 2011. </w:t>
      </w:r>
      <w:bookmarkStart w:id="1" w:name="_ENREF_2"/>
      <w:r>
        <w:rPr>
          <w:rFonts w:cs="Times New Roman"/>
          <w:i/>
          <w:noProof/>
        </w:rPr>
        <w:t xml:space="preserve">Financing Africa. Through the Crisis and Beyond, </w:t>
      </w:r>
      <w:r>
        <w:rPr>
          <w:rFonts w:cs="Times New Roman"/>
          <w:noProof/>
        </w:rPr>
        <w:t>Washington, D.C., The International Bank for Reconstruction and Development / The World Bank.</w:t>
      </w:r>
      <w:bookmarkEnd w:id="1"/>
    </w:p>
    <w:p w:rsidR="001B4E44" w:rsidRDefault="001B4E44" w:rsidP="001B4E44">
      <w:pPr>
        <w:pStyle w:val="TableContents"/>
        <w:jc w:val="both"/>
        <w:rPr>
          <w:rFonts w:asciiTheme="minorHAnsi" w:hAnsiTheme="minorHAnsi" w:cs="Times New Roman"/>
          <w:sz w:val="22"/>
          <w:szCs w:val="22"/>
        </w:rPr>
      </w:pPr>
      <w:proofErr w:type="gramStart"/>
      <w:r>
        <w:rPr>
          <w:rFonts w:asciiTheme="minorHAnsi" w:hAnsiTheme="minorHAnsi" w:cs="Times New Roman"/>
          <w:sz w:val="22"/>
          <w:szCs w:val="22"/>
        </w:rPr>
        <w:t xml:space="preserve">Beck, T., </w:t>
      </w:r>
      <w:proofErr w:type="spellStart"/>
      <w:r>
        <w:rPr>
          <w:rFonts w:asciiTheme="minorHAnsi" w:hAnsiTheme="minorHAnsi" w:cs="Times New Roman"/>
          <w:sz w:val="22"/>
          <w:szCs w:val="22"/>
        </w:rPr>
        <w:t>Demirgüç-Kunt</w:t>
      </w:r>
      <w:proofErr w:type="spellEnd"/>
      <w:r>
        <w:rPr>
          <w:rFonts w:asciiTheme="minorHAnsi" w:hAnsiTheme="minorHAnsi" w:cs="Times New Roman"/>
          <w:sz w:val="22"/>
          <w:szCs w:val="22"/>
        </w:rPr>
        <w:t>, A. and Singer, D. 2011.</w:t>
      </w:r>
      <w:proofErr w:type="gramEnd"/>
      <w:r>
        <w:rPr>
          <w:rFonts w:asciiTheme="minorHAnsi" w:hAnsiTheme="minorHAnsi" w:cs="Times New Roman"/>
          <w:sz w:val="22"/>
          <w:szCs w:val="22"/>
        </w:rPr>
        <w:t xml:space="preserve"> 'Is Small Beautiful? </w:t>
      </w:r>
      <w:proofErr w:type="gramStart"/>
      <w:r>
        <w:rPr>
          <w:rFonts w:asciiTheme="minorHAnsi" w:hAnsiTheme="minorHAnsi" w:cs="Times New Roman"/>
          <w:sz w:val="22"/>
          <w:szCs w:val="22"/>
        </w:rPr>
        <w:t xml:space="preserve">Financial Structure, Size and Access to Finance' </w:t>
      </w:r>
      <w:r>
        <w:rPr>
          <w:rFonts w:asciiTheme="minorHAnsi" w:hAnsiTheme="minorHAnsi" w:cs="Times New Roman"/>
          <w:i/>
          <w:iCs/>
          <w:sz w:val="22"/>
          <w:szCs w:val="22"/>
        </w:rPr>
        <w:t xml:space="preserve">World Bank Policy Research Working Paper </w:t>
      </w:r>
      <w:r>
        <w:rPr>
          <w:rFonts w:asciiTheme="minorHAnsi" w:hAnsiTheme="minorHAnsi" w:cs="Times New Roman"/>
          <w:sz w:val="22"/>
          <w:szCs w:val="22"/>
        </w:rPr>
        <w:t>5806</w:t>
      </w:r>
      <w:bookmarkStart w:id="2" w:name="_ENREF_1"/>
      <w:r>
        <w:rPr>
          <w:rFonts w:asciiTheme="minorHAnsi" w:hAnsiTheme="minorHAnsi" w:cs="Times New Roman"/>
          <w:sz w:val="22"/>
          <w:szCs w:val="22"/>
        </w:rPr>
        <w:t>.</w:t>
      </w:r>
      <w:proofErr w:type="gramEnd"/>
    </w:p>
    <w:p w:rsidR="001B4E44" w:rsidRDefault="001B4E44" w:rsidP="001B4E44">
      <w:pPr>
        <w:pStyle w:val="TableContents"/>
        <w:jc w:val="both"/>
        <w:rPr>
          <w:rFonts w:asciiTheme="minorHAnsi" w:hAnsiTheme="minorHAnsi" w:cs="Times New Roman"/>
          <w:sz w:val="22"/>
          <w:szCs w:val="22"/>
        </w:rPr>
      </w:pPr>
    </w:p>
    <w:p w:rsidR="001B4E44" w:rsidRDefault="001B4E44" w:rsidP="001B4E44">
      <w:pPr>
        <w:pStyle w:val="TableContents"/>
        <w:jc w:val="both"/>
        <w:rPr>
          <w:rFonts w:asciiTheme="minorHAnsi" w:hAnsiTheme="minorHAnsi" w:cs="Times New Roman"/>
          <w:noProof/>
          <w:sz w:val="22"/>
          <w:szCs w:val="22"/>
        </w:rPr>
      </w:pPr>
      <w:r>
        <w:rPr>
          <w:rFonts w:asciiTheme="minorHAnsi" w:hAnsiTheme="minorHAnsi" w:cs="Times New Roman"/>
          <w:noProof/>
          <w:sz w:val="22"/>
          <w:szCs w:val="22"/>
        </w:rPr>
        <w:t xml:space="preserve">Beck, T., Buyukkarabacak, B., Rioja, F. and Valev, N. 2012. ‘Who gets the credit? And does it matter? Household vs. firm lending across countries.’ </w:t>
      </w:r>
      <w:r>
        <w:rPr>
          <w:rFonts w:asciiTheme="minorHAnsi" w:hAnsiTheme="minorHAnsi" w:cs="Times New Roman"/>
          <w:i/>
          <w:noProof/>
          <w:sz w:val="22"/>
          <w:szCs w:val="22"/>
        </w:rPr>
        <w:t>BE Journal of Macroeconomics,</w:t>
      </w:r>
      <w:r>
        <w:rPr>
          <w:rFonts w:asciiTheme="minorHAnsi" w:hAnsiTheme="minorHAnsi" w:cs="Times New Roman"/>
          <w:noProof/>
          <w:sz w:val="22"/>
          <w:szCs w:val="22"/>
        </w:rPr>
        <w:t xml:space="preserve"> 12.</w:t>
      </w:r>
      <w:bookmarkEnd w:id="2"/>
    </w:p>
    <w:p w:rsidR="001B4E44" w:rsidRDefault="001B4E44" w:rsidP="001B4E44">
      <w:pPr>
        <w:pStyle w:val="TableContents"/>
        <w:jc w:val="both"/>
        <w:rPr>
          <w:rFonts w:asciiTheme="minorHAnsi" w:hAnsiTheme="minorHAnsi" w:cs="Times New Roman"/>
          <w:sz w:val="22"/>
          <w:szCs w:val="22"/>
        </w:rPr>
      </w:pPr>
    </w:p>
    <w:p w:rsidR="001B4E44" w:rsidRDefault="001B4E44" w:rsidP="001B4E44">
      <w:proofErr w:type="gramStart"/>
      <w:r>
        <w:t>Beck, T. 2013.</w:t>
      </w:r>
      <w:proofErr w:type="gramEnd"/>
      <w:r>
        <w:t xml:space="preserve"> ‘Finance for development: A research Agenda’, paper prepared for ODI.</w:t>
      </w:r>
    </w:p>
    <w:p w:rsidR="001B4E44" w:rsidRDefault="001B4E44" w:rsidP="001B4E44">
      <w:proofErr w:type="spellStart"/>
      <w:r>
        <w:t>Borio</w:t>
      </w:r>
      <w:proofErr w:type="spellEnd"/>
      <w:r>
        <w:t xml:space="preserve">, C. 2012. ‘The Financial Cycle and Macroeconomics: What have we learnt?’ </w:t>
      </w:r>
      <w:r>
        <w:rPr>
          <w:i/>
        </w:rPr>
        <w:t xml:space="preserve">BIS Working Papers </w:t>
      </w:r>
      <w:r>
        <w:t>No. 395, December.</w:t>
      </w:r>
    </w:p>
    <w:p w:rsidR="001B4E44" w:rsidRDefault="001B4E44" w:rsidP="001B4E44">
      <w:pPr>
        <w:jc w:val="both"/>
        <w:rPr>
          <w:rFonts w:cs="Times New Roman"/>
          <w:i/>
          <w:noProof/>
        </w:rPr>
      </w:pPr>
      <w:r>
        <w:rPr>
          <w:rFonts w:cs="Times New Roman"/>
          <w:noProof/>
        </w:rPr>
        <w:t>Brownbridge, M., Harvey, C. and Gockel, F. 1998</w:t>
      </w:r>
      <w:bookmarkStart w:id="3" w:name="_ENREF_3"/>
      <w:r>
        <w:rPr>
          <w:rFonts w:cs="Times New Roman"/>
          <w:noProof/>
        </w:rPr>
        <w:t>.</w:t>
      </w:r>
      <w:r>
        <w:rPr>
          <w:rFonts w:cs="Times New Roman"/>
          <w:i/>
          <w:noProof/>
        </w:rPr>
        <w:t xml:space="preserve"> Banking in Africa: the impact of financial sector reform since independence, </w:t>
      </w:r>
      <w:r>
        <w:rPr>
          <w:rFonts w:cs="Times New Roman"/>
          <w:noProof/>
        </w:rPr>
        <w:t>Oxford and Trenton, NJ, James Currey and Africa World Press.</w:t>
      </w:r>
      <w:bookmarkEnd w:id="3"/>
    </w:p>
    <w:p w:rsidR="001B4E44" w:rsidRDefault="001B4E44" w:rsidP="001B4E44">
      <w:proofErr w:type="spellStart"/>
      <w:proofErr w:type="gramStart"/>
      <w:r>
        <w:t>Calvo</w:t>
      </w:r>
      <w:proofErr w:type="spellEnd"/>
      <w:r>
        <w:t xml:space="preserve">, G., </w:t>
      </w:r>
      <w:proofErr w:type="spellStart"/>
      <w:r>
        <w:t>Leiderman</w:t>
      </w:r>
      <w:proofErr w:type="spellEnd"/>
      <w:r>
        <w:t>, L. and Reinhart, C. M. 1993.</w:t>
      </w:r>
      <w:proofErr w:type="gramEnd"/>
      <w:r>
        <w:t xml:space="preserve"> ‘Capital Inflows and Real Exchange Rate Appreciation in Latin America: The Role of External Factors’, </w:t>
      </w:r>
      <w:r>
        <w:rPr>
          <w:i/>
        </w:rPr>
        <w:t>IMF Staff Papers</w:t>
      </w:r>
      <w:r>
        <w:t>, 40(1), pp. 108-151, March.</w:t>
      </w:r>
    </w:p>
    <w:p w:rsidR="001B4E44" w:rsidRDefault="001B4E44" w:rsidP="001B4E44">
      <w:proofErr w:type="spellStart"/>
      <w:r>
        <w:t>Calvo</w:t>
      </w:r>
      <w:proofErr w:type="spellEnd"/>
      <w:r>
        <w:t xml:space="preserve">, G. 2013. </w:t>
      </w:r>
      <w:proofErr w:type="gramStart"/>
      <w:r>
        <w:t>‘Puzzling over the anatomy of crises: Liquidity and the Veil of Finance’.</w:t>
      </w:r>
      <w:proofErr w:type="gramEnd"/>
      <w:r>
        <w:t xml:space="preserve"> Paper presented at the </w:t>
      </w:r>
      <w:proofErr w:type="spellStart"/>
      <w:r>
        <w:t>Mayekawa</w:t>
      </w:r>
      <w:proofErr w:type="spellEnd"/>
      <w:r>
        <w:t xml:space="preserve"> Lecture at the Institute for Monetary and Economic Studies Conference, Bank of Japan, Tokyo, Japan, May 29‐30. http://www.columbia.edu/~gc2286/documents/CalvoBOJpaperMay2013REVJune282013.pdf</w:t>
      </w:r>
    </w:p>
    <w:p w:rsidR="001B4E44" w:rsidRDefault="001B4E44" w:rsidP="001B4E44">
      <w:pPr>
        <w:jc w:val="both"/>
        <w:rPr>
          <w:rFonts w:cs="Times New Roman"/>
        </w:rPr>
      </w:pPr>
      <w:proofErr w:type="gramStart"/>
      <w:r>
        <w:rPr>
          <w:rFonts w:cs="Times New Roman"/>
        </w:rPr>
        <w:lastRenderedPageBreak/>
        <w:t>Cecchetti, S. G. and Kharroubi, E. July.</w:t>
      </w:r>
      <w:proofErr w:type="gramEnd"/>
      <w:r>
        <w:rPr>
          <w:rFonts w:cs="Times New Roman"/>
        </w:rPr>
        <w:t xml:space="preserve"> 2012. ‘Reassessing the Impact of Finance and Growth’ </w:t>
      </w:r>
      <w:r>
        <w:rPr>
          <w:rFonts w:cs="Times New Roman"/>
          <w:i/>
        </w:rPr>
        <w:t>BIS Working Papers</w:t>
      </w:r>
      <w:r>
        <w:rPr>
          <w:rFonts w:cs="Times New Roman"/>
        </w:rPr>
        <w:t xml:space="preserve"> No. 381: Monetary and Economic Department. </w:t>
      </w:r>
    </w:p>
    <w:p w:rsidR="001B4E44" w:rsidRDefault="001B4E44" w:rsidP="001B4E44">
      <w:proofErr w:type="spellStart"/>
      <w:r>
        <w:t>D’Arista</w:t>
      </w:r>
      <w:proofErr w:type="spellEnd"/>
      <w:r>
        <w:t xml:space="preserve">, J. and Griffith-Jones, S. 1998. </w:t>
      </w:r>
      <w:proofErr w:type="gramStart"/>
      <w:r>
        <w:t xml:space="preserve">‘The Boom of Portfolio Flows to Emerging Markets and Its Regulatory Implications’, in Montes, M. et al., (eds.), </w:t>
      </w:r>
      <w:r>
        <w:rPr>
          <w:i/>
        </w:rPr>
        <w:t>Short-Term Capital Movements and Balance of Payments Crises</w:t>
      </w:r>
      <w:r>
        <w:t>.</w:t>
      </w:r>
      <w:proofErr w:type="gramEnd"/>
      <w:r>
        <w:t xml:space="preserve"> Helsinki: World Institute for Development Economics Research.</w:t>
      </w:r>
    </w:p>
    <w:p w:rsidR="001B4E44" w:rsidRDefault="001B4E44" w:rsidP="001B4E44">
      <w:pPr>
        <w:pStyle w:val="HTMLPreformatted"/>
        <w:jc w:val="both"/>
        <w:rPr>
          <w:rFonts w:asciiTheme="minorHAnsi" w:hAnsiTheme="minorHAnsi" w:cs="Times New Roman"/>
          <w:sz w:val="22"/>
          <w:szCs w:val="22"/>
        </w:rPr>
      </w:pPr>
      <w:proofErr w:type="gramStart"/>
      <w:r>
        <w:rPr>
          <w:rFonts w:asciiTheme="minorHAnsi" w:hAnsiTheme="minorHAnsi" w:cs="Times New Roman"/>
          <w:sz w:val="22"/>
          <w:szCs w:val="22"/>
        </w:rPr>
        <w:t>de</w:t>
      </w:r>
      <w:proofErr w:type="gramEnd"/>
      <w:r>
        <w:rPr>
          <w:rFonts w:asciiTheme="minorHAnsi" w:hAnsiTheme="minorHAnsi" w:cs="Times New Roman"/>
          <w:sz w:val="22"/>
          <w:szCs w:val="22"/>
        </w:rPr>
        <w:t xml:space="preserve"> la Torre, A. and </w:t>
      </w:r>
      <w:proofErr w:type="spellStart"/>
      <w:r>
        <w:rPr>
          <w:rFonts w:asciiTheme="minorHAnsi" w:hAnsiTheme="minorHAnsi" w:cs="Times New Roman"/>
          <w:sz w:val="22"/>
          <w:szCs w:val="22"/>
        </w:rPr>
        <w:t>Ize</w:t>
      </w:r>
      <w:proofErr w:type="spellEnd"/>
      <w:r>
        <w:rPr>
          <w:rFonts w:asciiTheme="minorHAnsi" w:hAnsiTheme="minorHAnsi" w:cs="Times New Roman"/>
          <w:sz w:val="22"/>
          <w:szCs w:val="22"/>
        </w:rPr>
        <w:t xml:space="preserve">, A. 2011. </w:t>
      </w:r>
      <w:proofErr w:type="gramStart"/>
      <w:r>
        <w:rPr>
          <w:rFonts w:asciiTheme="minorHAnsi" w:hAnsiTheme="minorHAnsi" w:cs="Times New Roman"/>
          <w:sz w:val="22"/>
          <w:szCs w:val="22"/>
        </w:rPr>
        <w:t>‘Containing systemic risk: paradigm-based perspectives on regulatory reform’.</w:t>
      </w:r>
      <w:proofErr w:type="gramEnd"/>
      <w:r>
        <w:rPr>
          <w:rFonts w:asciiTheme="minorHAnsi" w:hAnsiTheme="minorHAnsi" w:cs="Times New Roman"/>
          <w:sz w:val="22"/>
          <w:szCs w:val="22"/>
        </w:rPr>
        <w:t xml:space="preserve"> </w:t>
      </w:r>
      <w:r>
        <w:rPr>
          <w:rFonts w:asciiTheme="minorHAnsi" w:hAnsiTheme="minorHAnsi" w:cs="Times New Roman"/>
          <w:i/>
          <w:iCs/>
          <w:sz w:val="22"/>
          <w:szCs w:val="22"/>
        </w:rPr>
        <w:t>World Bank Policy Research Working Paper</w:t>
      </w:r>
      <w:r>
        <w:rPr>
          <w:rFonts w:asciiTheme="minorHAnsi" w:hAnsiTheme="minorHAnsi" w:cs="Times New Roman"/>
          <w:sz w:val="22"/>
          <w:szCs w:val="22"/>
        </w:rPr>
        <w:t xml:space="preserve"> 5523</w:t>
      </w:r>
      <w:bookmarkStart w:id="4" w:name="_ENREF_4"/>
    </w:p>
    <w:p w:rsidR="001B4E44" w:rsidRDefault="001B4E44" w:rsidP="001B4E44">
      <w:pPr>
        <w:pStyle w:val="HTMLPreformatted"/>
        <w:jc w:val="both"/>
        <w:rPr>
          <w:rFonts w:asciiTheme="minorHAnsi" w:hAnsiTheme="minorHAnsi" w:cs="Times New Roman"/>
          <w:sz w:val="22"/>
          <w:szCs w:val="22"/>
        </w:rPr>
      </w:pPr>
    </w:p>
    <w:p w:rsidR="001B4E44" w:rsidRDefault="001B4E44" w:rsidP="001B4E44">
      <w:pPr>
        <w:pStyle w:val="HTMLPreformatted"/>
        <w:jc w:val="both"/>
        <w:rPr>
          <w:rFonts w:asciiTheme="minorHAnsi" w:hAnsiTheme="minorHAnsi" w:cs="Times New Roman"/>
          <w:i/>
          <w:noProof/>
          <w:sz w:val="22"/>
          <w:szCs w:val="22"/>
        </w:rPr>
      </w:pPr>
      <w:r>
        <w:rPr>
          <w:rFonts w:asciiTheme="minorHAnsi" w:hAnsiTheme="minorHAnsi" w:cs="Times New Roman"/>
          <w:noProof/>
          <w:sz w:val="22"/>
          <w:szCs w:val="22"/>
          <w:lang w:val="de-DE"/>
        </w:rPr>
        <w:t>Dermirguc-Kunt, A. and Klapper, L. 2012. ‘</w:t>
      </w:r>
      <w:r>
        <w:rPr>
          <w:rFonts w:asciiTheme="minorHAnsi" w:hAnsiTheme="minorHAnsi" w:cs="Times New Roman"/>
          <w:noProof/>
          <w:sz w:val="22"/>
          <w:szCs w:val="22"/>
        </w:rPr>
        <w:t xml:space="preserve">Measuring Financial Inclusion: The Global Findex Database’, </w:t>
      </w:r>
      <w:r>
        <w:rPr>
          <w:rFonts w:asciiTheme="minorHAnsi" w:hAnsiTheme="minorHAnsi" w:cs="Times New Roman"/>
          <w:i/>
          <w:noProof/>
          <w:sz w:val="22"/>
          <w:szCs w:val="22"/>
        </w:rPr>
        <w:t>World Bank Policy Research Paper</w:t>
      </w:r>
      <w:bookmarkEnd w:id="4"/>
      <w:r>
        <w:rPr>
          <w:rFonts w:asciiTheme="minorHAnsi" w:hAnsiTheme="minorHAnsi" w:cs="Times New Roman"/>
          <w:i/>
          <w:noProof/>
          <w:sz w:val="22"/>
          <w:szCs w:val="22"/>
        </w:rPr>
        <w:t>.</w:t>
      </w:r>
    </w:p>
    <w:p w:rsidR="001B4E44" w:rsidRDefault="001B4E44" w:rsidP="001B4E44">
      <w:pPr>
        <w:pStyle w:val="HTMLPreformatted"/>
        <w:jc w:val="both"/>
        <w:rPr>
          <w:rFonts w:asciiTheme="minorHAnsi" w:hAnsiTheme="minorHAnsi" w:cs="Times New Roman"/>
          <w:sz w:val="22"/>
          <w:szCs w:val="22"/>
        </w:rPr>
      </w:pPr>
    </w:p>
    <w:p w:rsidR="001B4E44" w:rsidRDefault="001B4E44" w:rsidP="001B4E44">
      <w:pPr>
        <w:tabs>
          <w:tab w:val="left" w:pos="720"/>
        </w:tabs>
      </w:pPr>
      <w:r>
        <w:t xml:space="preserve">Devlin, R., French-Davis, R. and Griffith-Jones, S. 1994. ‘Surges in Capital Flows and Development: An Overview of policy Issues’, </w:t>
      </w:r>
      <w:proofErr w:type="gramStart"/>
      <w:r>
        <w:t>in  Ffrench</w:t>
      </w:r>
      <w:proofErr w:type="gramEnd"/>
      <w:r>
        <w:t>-Davis, R. and Griffith-Jones, S. (</w:t>
      </w:r>
      <w:proofErr w:type="spellStart"/>
      <w:r>
        <w:t>eds</w:t>
      </w:r>
      <w:proofErr w:type="spellEnd"/>
      <w:r>
        <w:t xml:space="preserve">) 1994. </w:t>
      </w:r>
      <w:proofErr w:type="gramStart"/>
      <w:r>
        <w:rPr>
          <w:i/>
        </w:rPr>
        <w:t>Coping with Capital Surges: The Return of Finance to Latin America</w:t>
      </w:r>
      <w:r>
        <w:t>.</w:t>
      </w:r>
      <w:proofErr w:type="gramEnd"/>
      <w:r>
        <w:t xml:space="preserve"> London: Lynne </w:t>
      </w:r>
      <w:proofErr w:type="spellStart"/>
      <w:r>
        <w:t>Rienner</w:t>
      </w:r>
      <w:proofErr w:type="spellEnd"/>
      <w:r>
        <w:t xml:space="preserve"> Publishers </w:t>
      </w:r>
      <w:proofErr w:type="spellStart"/>
      <w:r>
        <w:t>Inc</w:t>
      </w:r>
      <w:proofErr w:type="spellEnd"/>
      <w:r>
        <w:t>, pp. 225-260.</w:t>
      </w:r>
    </w:p>
    <w:p w:rsidR="001B4E44" w:rsidRDefault="001B4E44" w:rsidP="001B4E44">
      <w:pPr>
        <w:tabs>
          <w:tab w:val="left" w:pos="720"/>
        </w:tabs>
      </w:pPr>
      <w:proofErr w:type="gramStart"/>
      <w:r>
        <w:t>Diaz-Alejandro, C. 1985.</w:t>
      </w:r>
      <w:proofErr w:type="gramEnd"/>
      <w:r>
        <w:t xml:space="preserve"> ‘Good-Bye Financial Repression, Hello Financial Crash’, </w:t>
      </w:r>
      <w:r>
        <w:rPr>
          <w:i/>
        </w:rPr>
        <w:t>Journal of Development Economics</w:t>
      </w:r>
      <w:r>
        <w:t>, 19 (1-2), pp1-24.</w:t>
      </w:r>
    </w:p>
    <w:p w:rsidR="001B4E44" w:rsidRDefault="001B4E44" w:rsidP="001B4E44">
      <w:pPr>
        <w:tabs>
          <w:tab w:val="left" w:pos="720"/>
        </w:tabs>
        <w:jc w:val="both"/>
        <w:rPr>
          <w:rFonts w:cs="Times New Roman"/>
          <w:noProof/>
        </w:rPr>
      </w:pPr>
      <w:r>
        <w:rPr>
          <w:rFonts w:cs="Times New Roman"/>
          <w:noProof/>
        </w:rPr>
        <w:t xml:space="preserve">DTI 2010. </w:t>
      </w:r>
      <w:r>
        <w:rPr>
          <w:rFonts w:cs="Times New Roman"/>
          <w:i/>
          <w:noProof/>
        </w:rPr>
        <w:t>The New Growth Path</w:t>
      </w:r>
      <w:r>
        <w:rPr>
          <w:rFonts w:cs="Times New Roman"/>
          <w:noProof/>
        </w:rPr>
        <w:t xml:space="preserve">, Department of Trade and Industry, Pretoria, South Africa. </w:t>
      </w:r>
    </w:p>
    <w:p w:rsidR="001B4E44" w:rsidRDefault="001B4E44" w:rsidP="001B4E44">
      <w:pPr>
        <w:tabs>
          <w:tab w:val="left" w:pos="720"/>
        </w:tabs>
        <w:jc w:val="both"/>
        <w:rPr>
          <w:rFonts w:cs="Times New Roman"/>
        </w:rPr>
      </w:pPr>
      <w:proofErr w:type="gramStart"/>
      <w:r>
        <w:rPr>
          <w:rFonts w:cs="Times New Roman"/>
        </w:rPr>
        <w:t>Easterly, W., Islam, R., and Stiglitz, J. 2000.</w:t>
      </w:r>
      <w:proofErr w:type="gramEnd"/>
      <w:r>
        <w:rPr>
          <w:rFonts w:cs="Times New Roman"/>
        </w:rPr>
        <w:t xml:space="preserve"> ‘Shaken and Stirred, Explaining Growth Volatility’. </w:t>
      </w:r>
      <w:proofErr w:type="gramStart"/>
      <w:r>
        <w:rPr>
          <w:rFonts w:cs="Times New Roman"/>
          <w:i/>
          <w:iCs/>
        </w:rPr>
        <w:t>Annual Bank Conference on Development Economics</w:t>
      </w:r>
      <w:r>
        <w:rPr>
          <w:rFonts w:cs="Times New Roman"/>
        </w:rPr>
        <w:t>.</w:t>
      </w:r>
      <w:proofErr w:type="gramEnd"/>
      <w:r>
        <w:rPr>
          <w:rFonts w:cs="Times New Roman"/>
        </w:rPr>
        <w:t xml:space="preserve"> </w:t>
      </w:r>
      <w:proofErr w:type="gramStart"/>
      <w:r>
        <w:rPr>
          <w:rFonts w:cs="Times New Roman"/>
        </w:rPr>
        <w:t>World Bank, Washington D.C.</w:t>
      </w:r>
      <w:proofErr w:type="gramEnd"/>
    </w:p>
    <w:p w:rsidR="001B4E44" w:rsidRDefault="001B4E44" w:rsidP="001B4E44">
      <w:pPr>
        <w:tabs>
          <w:tab w:val="left" w:pos="720"/>
        </w:tabs>
      </w:pPr>
      <w:r>
        <w:t>Ffrench-Davis, R. and Griffith-Jones, S. (</w:t>
      </w:r>
      <w:proofErr w:type="spellStart"/>
      <w:proofErr w:type="gramStart"/>
      <w:r>
        <w:t>eds</w:t>
      </w:r>
      <w:proofErr w:type="spellEnd"/>
      <w:proofErr w:type="gramEnd"/>
      <w:r>
        <w:t xml:space="preserve">) 1994. </w:t>
      </w:r>
      <w:proofErr w:type="gramStart"/>
      <w:r>
        <w:rPr>
          <w:i/>
        </w:rPr>
        <w:t>Coping with Capital Surges: The Return of Finance to Latin America</w:t>
      </w:r>
      <w:r>
        <w:t>.</w:t>
      </w:r>
      <w:proofErr w:type="gramEnd"/>
      <w:r>
        <w:t xml:space="preserve"> London: Lynne </w:t>
      </w:r>
      <w:proofErr w:type="spellStart"/>
      <w:r>
        <w:t>Rienner</w:t>
      </w:r>
      <w:proofErr w:type="spellEnd"/>
      <w:r>
        <w:t xml:space="preserve"> Publishers Inc. </w:t>
      </w:r>
    </w:p>
    <w:p w:rsidR="001B4E44" w:rsidRDefault="001B4E44" w:rsidP="001B4E44">
      <w:pPr>
        <w:tabs>
          <w:tab w:val="left" w:pos="720"/>
        </w:tabs>
      </w:pPr>
      <w:r>
        <w:t xml:space="preserve">Ffrench-Davis, R. and Griffith-Jones, S. 2011.’Taming Capital Account Shocks: Managing Booms and Busts’, in J. A. Ocampo and J. Ross (eds.), </w:t>
      </w:r>
      <w:r>
        <w:rPr>
          <w:i/>
        </w:rPr>
        <w:t>The Oxford handbook of Latin American Economics</w:t>
      </w:r>
      <w:r>
        <w:t>. Oxford: Oxford University Press, pp. 161 – 186.</w:t>
      </w:r>
    </w:p>
    <w:p w:rsidR="001B4E44" w:rsidRDefault="001B4E44" w:rsidP="001B4E44">
      <w:pPr>
        <w:tabs>
          <w:tab w:val="left" w:pos="720"/>
        </w:tabs>
        <w:jc w:val="both"/>
        <w:rPr>
          <w:rFonts w:cs="Times New Roman"/>
        </w:rPr>
      </w:pPr>
      <w:r>
        <w:rPr>
          <w:rFonts w:cs="Times New Roman"/>
        </w:rPr>
        <w:t xml:space="preserve">Gallagher, K.P., Griffith-Jones, S. and Ocampo, J.A. 2012. </w:t>
      </w:r>
      <w:proofErr w:type="gramStart"/>
      <w:r>
        <w:rPr>
          <w:rFonts w:cs="Times New Roman"/>
        </w:rPr>
        <w:t>‘</w:t>
      </w:r>
      <w:r>
        <w:rPr>
          <w:rFonts w:eastAsia="Times New Roman" w:cs="Times New Roman"/>
          <w:bCs/>
        </w:rPr>
        <w:t xml:space="preserve">Capital Account Regulations for Stability and Development: A New Approach’ </w:t>
      </w:r>
      <w:r>
        <w:rPr>
          <w:rFonts w:cs="Times New Roman"/>
        </w:rPr>
        <w:t xml:space="preserve">S. </w:t>
      </w:r>
      <w:proofErr w:type="spellStart"/>
      <w:r>
        <w:rPr>
          <w:rFonts w:cs="Times New Roman"/>
        </w:rPr>
        <w:t>Pardee</w:t>
      </w:r>
      <w:proofErr w:type="spellEnd"/>
      <w:r>
        <w:rPr>
          <w:rFonts w:cs="Times New Roman"/>
        </w:rPr>
        <w:t xml:space="preserve"> </w:t>
      </w:r>
      <w:proofErr w:type="spellStart"/>
      <w:r>
        <w:rPr>
          <w:rFonts w:cs="Times New Roman"/>
        </w:rPr>
        <w:t>Center</w:t>
      </w:r>
      <w:proofErr w:type="spellEnd"/>
      <w:r>
        <w:rPr>
          <w:rFonts w:cs="Times New Roman"/>
        </w:rPr>
        <w:t xml:space="preserve"> for the Study of the Long-Range Future.</w:t>
      </w:r>
      <w:proofErr w:type="gramEnd"/>
      <w:r>
        <w:rPr>
          <w:rFonts w:cs="Times New Roman"/>
        </w:rPr>
        <w:t xml:space="preserve"> </w:t>
      </w:r>
      <w:proofErr w:type="gramStart"/>
      <w:r>
        <w:rPr>
          <w:rFonts w:cs="Times New Roman"/>
          <w:i/>
        </w:rPr>
        <w:t>Issues in Brief.</w:t>
      </w:r>
      <w:proofErr w:type="gramEnd"/>
      <w:r>
        <w:rPr>
          <w:rFonts w:cs="Times New Roman"/>
        </w:rPr>
        <w:t xml:space="preserve"> </w:t>
      </w:r>
      <w:proofErr w:type="gramStart"/>
      <w:r>
        <w:rPr>
          <w:rFonts w:cs="Times New Roman"/>
        </w:rPr>
        <w:t>No. 22.</w:t>
      </w:r>
      <w:proofErr w:type="gramEnd"/>
      <w:r>
        <w:rPr>
          <w:rFonts w:cs="Times New Roman"/>
        </w:rPr>
        <w:t xml:space="preserve"> http://www.bu.edu/pardee/files/2011/10/22-IIB.pdf</w:t>
      </w:r>
    </w:p>
    <w:p w:rsidR="001B4E44" w:rsidRDefault="001B4E44" w:rsidP="001B4E44">
      <w:pPr>
        <w:tabs>
          <w:tab w:val="left" w:pos="720"/>
        </w:tabs>
      </w:pPr>
      <w:r>
        <w:t>Gallagher, K. and Griffith-Jones, S. 2012. ‘The Need for North-South Coordination’, in Gallagher, K., Griffith-Jones, S. and Ocampo, J. A. (</w:t>
      </w:r>
      <w:proofErr w:type="spellStart"/>
      <w:proofErr w:type="gramStart"/>
      <w:r>
        <w:t>eds</w:t>
      </w:r>
      <w:proofErr w:type="spellEnd"/>
      <w:proofErr w:type="gramEnd"/>
      <w:r>
        <w:t xml:space="preserve">) </w:t>
      </w:r>
      <w:r>
        <w:rPr>
          <w:i/>
        </w:rPr>
        <w:t>Regulating Global Capital Flows for Long-Run Development</w:t>
      </w:r>
      <w:r>
        <w:t>, Boston: Boston University. pp. 103-110.</w:t>
      </w:r>
    </w:p>
    <w:p w:rsidR="001B4E44" w:rsidRDefault="001B4E44" w:rsidP="001B4E44">
      <w:pPr>
        <w:tabs>
          <w:tab w:val="left" w:pos="720"/>
        </w:tabs>
      </w:pPr>
      <w:proofErr w:type="gramStart"/>
      <w:r>
        <w:t>Gallagher, K. and Ocampo, J. A. 2013.</w:t>
      </w:r>
      <w:proofErr w:type="gramEnd"/>
      <w:r>
        <w:t xml:space="preserve"> ‘IMF's New View on Capital Controls’, </w:t>
      </w:r>
      <w:r>
        <w:rPr>
          <w:i/>
        </w:rPr>
        <w:t>Economic &amp; Political Weekly</w:t>
      </w:r>
      <w:r>
        <w:t xml:space="preserve">, XLVIII (12), </w:t>
      </w:r>
      <w:proofErr w:type="gramStart"/>
      <w:r>
        <w:t>March</w:t>
      </w:r>
      <w:proofErr w:type="gramEnd"/>
      <w:r>
        <w:t xml:space="preserve">. </w:t>
      </w:r>
      <w:hyperlink r:id="rId20" w:history="1">
        <w:r>
          <w:rPr>
            <w:rStyle w:val="Hyperlink"/>
          </w:rPr>
          <w:t>http://www.epw.in/commentary/imfs-new-view-capital-controls.html</w:t>
        </w:r>
      </w:hyperlink>
    </w:p>
    <w:p w:rsidR="001B4E44" w:rsidRDefault="001B4E44" w:rsidP="001B4E44">
      <w:pPr>
        <w:tabs>
          <w:tab w:val="left" w:pos="720"/>
        </w:tabs>
      </w:pPr>
      <w:proofErr w:type="spellStart"/>
      <w:r>
        <w:t>Goodhart</w:t>
      </w:r>
      <w:proofErr w:type="spellEnd"/>
      <w:r>
        <w:t>, C. A. E. 2010. ‘How, it at all, should credit rating agencies (CRAs) be regulated?’, in S. Griffith-Jones, J. A. Ocampo, and J. E. Stiglitz (</w:t>
      </w:r>
      <w:proofErr w:type="spellStart"/>
      <w:r>
        <w:t>eds</w:t>
      </w:r>
      <w:proofErr w:type="spellEnd"/>
      <w:r>
        <w:t xml:space="preserve">) </w:t>
      </w:r>
      <w:r>
        <w:rPr>
          <w:rFonts w:cs="Times New Roman"/>
          <w:i/>
        </w:rPr>
        <w:t>Time for a Visible Hand: Lessons from the 2008 World Financial Crisis</w:t>
      </w:r>
      <w:r>
        <w:rPr>
          <w:rFonts w:cs="Times New Roman"/>
        </w:rPr>
        <w:t>. Oxford University Press: New York.</w:t>
      </w:r>
    </w:p>
    <w:p w:rsidR="001B4E44" w:rsidRDefault="001B4E44" w:rsidP="001B4E44">
      <w:pPr>
        <w:tabs>
          <w:tab w:val="left" w:pos="720"/>
        </w:tabs>
      </w:pPr>
      <w:r>
        <w:t xml:space="preserve">Griffith-Jones, S. 1998. </w:t>
      </w:r>
      <w:r>
        <w:rPr>
          <w:i/>
        </w:rPr>
        <w:t>Global Capital Flows: Should they be regulated?</w:t>
      </w:r>
      <w:r>
        <w:t xml:space="preserve"> London: Macmillan.</w:t>
      </w:r>
    </w:p>
    <w:p w:rsidR="001B4E44" w:rsidRDefault="001B4E44" w:rsidP="001B4E44">
      <w:pPr>
        <w:tabs>
          <w:tab w:val="left" w:pos="720"/>
        </w:tabs>
      </w:pPr>
      <w:r>
        <w:lastRenderedPageBreak/>
        <w:t xml:space="preserve">Griffith-Jones, S., Gottschalk, R. and </w:t>
      </w:r>
      <w:proofErr w:type="spellStart"/>
      <w:r>
        <w:t>Cirera</w:t>
      </w:r>
      <w:proofErr w:type="spellEnd"/>
      <w:r>
        <w:t xml:space="preserve">, X.  2003. ‘The OECD Experience with Capital Account Liberalization’, UNCTAD, </w:t>
      </w:r>
      <w:r>
        <w:rPr>
          <w:i/>
        </w:rPr>
        <w:t>Management of Capital Flows: Comparative experiences and implications for Africa</w:t>
      </w:r>
      <w:r>
        <w:t>. http://stephanygj.net/papers/THEOECDEXPERIENCEWITHCAPITALACCOUNTLIB2002.pdf</w:t>
      </w:r>
    </w:p>
    <w:p w:rsidR="001B4E44" w:rsidRDefault="001B4E44" w:rsidP="001B4E44">
      <w:pPr>
        <w:tabs>
          <w:tab w:val="left" w:pos="720"/>
        </w:tabs>
      </w:pPr>
      <w:r>
        <w:t>Griffith-Jones, S. and Dodd, R. 2006 ‘Report on Derivatives Markets: Stabilizing or Speculative Impact on Chile and a Comparison with Brazil’. Paper prepared for Economic Commission for Latin America and the Caribbean (ECLAC), May.  http://stephanygj.net/papers/Derivatives_Dodd_SGJ_May2007.pdf</w:t>
      </w:r>
    </w:p>
    <w:p w:rsidR="001B4E44" w:rsidRDefault="001B4E44" w:rsidP="001B4E44">
      <w:pPr>
        <w:tabs>
          <w:tab w:val="left" w:pos="720"/>
        </w:tabs>
        <w:rPr>
          <w:rFonts w:eastAsia="Calibri" w:cs="Times New Roman"/>
        </w:rPr>
      </w:pPr>
      <w:proofErr w:type="gramStart"/>
      <w:r>
        <w:t>Griffith-Jones, S. and Dodd, R. 2007.</w:t>
      </w:r>
      <w:proofErr w:type="gramEnd"/>
      <w:r>
        <w:t xml:space="preserve"> ‘</w:t>
      </w:r>
      <w:r>
        <w:rPr>
          <w:rFonts w:eastAsia="Calibri" w:cs="Times New Roman"/>
        </w:rPr>
        <w:t>Brazil</w:t>
      </w:r>
      <w:r>
        <w:t xml:space="preserve">’s Derivatives Markets: </w:t>
      </w:r>
      <w:r>
        <w:rPr>
          <w:rFonts w:eastAsia="Calibri" w:cs="Times New Roman"/>
        </w:rPr>
        <w:t>Hedging, Central Bank Intervention and Regulation</w:t>
      </w:r>
      <w:r>
        <w:t xml:space="preserve">’. Paper prepared for </w:t>
      </w:r>
      <w:r>
        <w:rPr>
          <w:rFonts w:eastAsia="Calibri" w:cs="Times New Roman"/>
        </w:rPr>
        <w:t>ECLAC/CEPAL</w:t>
      </w:r>
      <w:r>
        <w:t>, December.</w:t>
      </w:r>
    </w:p>
    <w:p w:rsidR="001B4E44" w:rsidRDefault="001B4E44" w:rsidP="001B4E44">
      <w:pPr>
        <w:tabs>
          <w:tab w:val="left" w:pos="720"/>
        </w:tabs>
        <w:jc w:val="both"/>
        <w:rPr>
          <w:rFonts w:cs="Times New Roman"/>
        </w:rPr>
      </w:pPr>
      <w:proofErr w:type="gramStart"/>
      <w:r>
        <w:rPr>
          <w:rFonts w:cs="Times New Roman"/>
        </w:rPr>
        <w:t>Griffith-Jones, S., Ocampo, J.A. and Stiglitz, J.E. 2010.</w:t>
      </w:r>
      <w:proofErr w:type="gramEnd"/>
      <w:r>
        <w:rPr>
          <w:rFonts w:cs="Times New Roman"/>
        </w:rPr>
        <w:t xml:space="preserve"> </w:t>
      </w:r>
      <w:r>
        <w:rPr>
          <w:rFonts w:cs="Times New Roman"/>
          <w:i/>
        </w:rPr>
        <w:t>Time for a Visible Hand: Lessons from the 2008 World Financial Crisis</w:t>
      </w:r>
      <w:r>
        <w:rPr>
          <w:rFonts w:cs="Times New Roman"/>
        </w:rPr>
        <w:t>. Oxford University Press: New York.</w:t>
      </w:r>
    </w:p>
    <w:p w:rsidR="001B4E44" w:rsidRDefault="001B4E44" w:rsidP="001B4E44">
      <w:pPr>
        <w:tabs>
          <w:tab w:val="left" w:pos="720"/>
        </w:tabs>
        <w:spacing w:line="240" w:lineRule="auto"/>
      </w:pPr>
      <w:proofErr w:type="gramStart"/>
      <w:r>
        <w:t>Griffith-Jones, S. and Ocampo, J. A. 2010.</w:t>
      </w:r>
      <w:proofErr w:type="gramEnd"/>
      <w:r>
        <w:t xml:space="preserve"> ‘Building on the counter-cyclical consensus: A policy agenda’, paper prepared for the G-</w:t>
      </w:r>
      <w:proofErr w:type="gramStart"/>
      <w:r>
        <w:t xml:space="preserve">24  </w:t>
      </w:r>
      <w:proofErr w:type="gramEnd"/>
      <w:r>
        <w:fldChar w:fldCharType="begin"/>
      </w:r>
      <w:r>
        <w:instrText xml:space="preserve"> HYPERLINK "http://www.g24.org/TGM/jaosgj0810.pdf" </w:instrText>
      </w:r>
      <w:r>
        <w:fldChar w:fldCharType="separate"/>
      </w:r>
      <w:r>
        <w:rPr>
          <w:rStyle w:val="Hyperlink"/>
        </w:rPr>
        <w:t>http://www.g24.org/TGM/jaosgj0810.pdf</w:t>
      </w:r>
      <w:r>
        <w:fldChar w:fldCharType="end"/>
      </w:r>
    </w:p>
    <w:p w:rsidR="009E668E" w:rsidRPr="00E76173" w:rsidRDefault="001B4E44" w:rsidP="009E668E">
      <w:pPr>
        <w:tabs>
          <w:tab w:val="left" w:pos="720"/>
        </w:tabs>
        <w:spacing w:before="28" w:line="240" w:lineRule="auto"/>
      </w:pPr>
      <w:proofErr w:type="gramStart"/>
      <w:r>
        <w:t>Griffith-Jones</w:t>
      </w:r>
      <w:r w:rsidR="00E76173">
        <w:t>, S. with Karwowski, E., 2013.</w:t>
      </w:r>
      <w:proofErr w:type="gramEnd"/>
      <w:r w:rsidR="00E76173">
        <w:t xml:space="preserve"> ‘</w:t>
      </w:r>
      <w:r w:rsidR="00E76173" w:rsidRPr="009E668E">
        <w:t>Finance and Growth in Sub-Saharan Africa:</w:t>
      </w:r>
      <w:r w:rsidR="00E76173">
        <w:t xml:space="preserve"> Policy and Research Challenges’</w:t>
      </w:r>
      <w:r w:rsidR="00E76173" w:rsidRPr="009E668E">
        <w:t xml:space="preserve">, in: </w:t>
      </w:r>
      <w:r w:rsidR="00E76173" w:rsidRPr="009E668E">
        <w:rPr>
          <w:i/>
          <w:iCs/>
        </w:rPr>
        <w:t>Working Paper</w:t>
      </w:r>
      <w:proofErr w:type="gramStart"/>
      <w:r w:rsidR="00E76173">
        <w:rPr>
          <w:i/>
          <w:iCs/>
        </w:rPr>
        <w:t>,</w:t>
      </w:r>
      <w:r w:rsidR="00E76173" w:rsidRPr="009E668E">
        <w:rPr>
          <w:i/>
          <w:iCs/>
        </w:rPr>
        <w:t xml:space="preserve">  Africa</w:t>
      </w:r>
      <w:proofErr w:type="gramEnd"/>
      <w:r w:rsidR="00E76173" w:rsidRPr="009E668E">
        <w:rPr>
          <w:i/>
          <w:iCs/>
        </w:rPr>
        <w:t xml:space="preserve"> Task Force Meeting</w:t>
      </w:r>
      <w:r w:rsidR="00E76173" w:rsidRPr="009E668E">
        <w:t>, JICA and The Initiative for Policy Dialogue, Yokohama</w:t>
      </w:r>
      <w:r w:rsidR="00E76173">
        <w:t xml:space="preserve">, June, pp. 139-132. </w:t>
      </w:r>
      <w:r w:rsidR="00E76173" w:rsidRPr="009E668E">
        <w:t>http://jica-ri.jica.go.jp/publication/assets/WP_JICA_IPD_Africa_Task_Force_Meeting.pdf</w:t>
      </w:r>
    </w:p>
    <w:p w:rsidR="001B4E44" w:rsidRDefault="001B4E44" w:rsidP="001B4E44">
      <w:pPr>
        <w:tabs>
          <w:tab w:val="left" w:pos="720"/>
        </w:tabs>
        <w:jc w:val="both"/>
        <w:rPr>
          <w:rFonts w:cs="Times New Roman"/>
        </w:rPr>
      </w:pPr>
      <w:proofErr w:type="gramStart"/>
      <w:r w:rsidRPr="009E668E">
        <w:rPr>
          <w:rFonts w:cs="Times New Roman"/>
        </w:rPr>
        <w:t xml:space="preserve">Haldane, A.G. and </w:t>
      </w:r>
      <w:proofErr w:type="spellStart"/>
      <w:r w:rsidRPr="009E668E">
        <w:rPr>
          <w:rFonts w:cs="Times New Roman"/>
        </w:rPr>
        <w:t>Madouros</w:t>
      </w:r>
      <w:proofErr w:type="spellEnd"/>
      <w:r w:rsidRPr="009E668E">
        <w:rPr>
          <w:rFonts w:cs="Times New Roman"/>
        </w:rPr>
        <w:t>, V. 2012.</w:t>
      </w:r>
      <w:proofErr w:type="gramEnd"/>
      <w:r w:rsidRPr="009E668E">
        <w:rPr>
          <w:rFonts w:cs="Times New Roman"/>
        </w:rPr>
        <w:t xml:space="preserve"> 'The Dog and the </w:t>
      </w:r>
      <w:proofErr w:type="gramStart"/>
      <w:r w:rsidRPr="009E668E">
        <w:rPr>
          <w:rFonts w:cs="Times New Roman"/>
        </w:rPr>
        <w:t>Frisbee'  Bank</w:t>
      </w:r>
      <w:proofErr w:type="gramEnd"/>
      <w:r w:rsidRPr="009E668E">
        <w:rPr>
          <w:rFonts w:cs="Times New Roman"/>
        </w:rPr>
        <w:t xml:space="preserve"> of England. Speech given at the Federal Reserve</w:t>
      </w:r>
      <w:r>
        <w:rPr>
          <w:rFonts w:cs="Times New Roman"/>
        </w:rPr>
        <w:t xml:space="preserve"> Bank of Kansas City’s 36</w:t>
      </w:r>
      <w:r>
        <w:rPr>
          <w:rFonts w:cs="Times New Roman"/>
          <w:vertAlign w:val="superscript"/>
        </w:rPr>
        <w:t>th</w:t>
      </w:r>
      <w:r>
        <w:rPr>
          <w:rFonts w:cs="Times New Roman"/>
        </w:rPr>
        <w:t xml:space="preserve">  economic policy symposium, “The Changing Policy Landscape”, Jackson Hole, Wyoming 31 August 2012.</w:t>
      </w:r>
    </w:p>
    <w:p w:rsidR="001B4E44" w:rsidRDefault="001B4E44" w:rsidP="001B4E44">
      <w:pPr>
        <w:pStyle w:val="Default"/>
        <w:tabs>
          <w:tab w:val="left" w:pos="720"/>
        </w:tabs>
        <w:rPr>
          <w:rFonts w:asciiTheme="minorHAnsi" w:hAnsiTheme="minorHAnsi"/>
          <w:sz w:val="22"/>
          <w:szCs w:val="22"/>
        </w:rPr>
      </w:pPr>
      <w:r>
        <w:rPr>
          <w:rFonts w:asciiTheme="minorHAnsi" w:hAnsiTheme="minorHAnsi"/>
          <w:sz w:val="22"/>
          <w:szCs w:val="22"/>
        </w:rPr>
        <w:t xml:space="preserve">IMF, 2011 ‘Managing Capital Inflows: What tools to use?’ </w:t>
      </w:r>
      <w:r>
        <w:rPr>
          <w:rFonts w:asciiTheme="minorHAnsi" w:hAnsiTheme="minorHAnsi"/>
          <w:i/>
          <w:sz w:val="22"/>
          <w:szCs w:val="22"/>
        </w:rPr>
        <w:t>IMF Staff Discussion Paper</w:t>
      </w:r>
      <w:r>
        <w:rPr>
          <w:rFonts w:asciiTheme="minorHAnsi" w:hAnsiTheme="minorHAnsi"/>
          <w:sz w:val="22"/>
          <w:szCs w:val="22"/>
        </w:rPr>
        <w:t xml:space="preserve">, Washington, D.C.: International Monetary Fund. </w:t>
      </w:r>
      <w:hyperlink r:id="rId21" w:history="1">
        <w:r>
          <w:rPr>
            <w:rStyle w:val="Hyperlink"/>
            <w:rFonts w:asciiTheme="minorHAnsi" w:hAnsiTheme="minorHAnsi"/>
            <w:sz w:val="22"/>
            <w:szCs w:val="22"/>
          </w:rPr>
          <w:t>https://www.imf.org/external/pubs/ft/sdn/2011/sdn1106.pdf</w:t>
        </w:r>
      </w:hyperlink>
      <w:r>
        <w:rPr>
          <w:rFonts w:asciiTheme="minorHAnsi" w:hAnsiTheme="minorHAnsi"/>
          <w:sz w:val="22"/>
          <w:szCs w:val="22"/>
        </w:rPr>
        <w:t xml:space="preserve">  </w:t>
      </w:r>
    </w:p>
    <w:p w:rsidR="001B4E44" w:rsidRDefault="001B4E44" w:rsidP="001B4E44">
      <w:pPr>
        <w:pStyle w:val="Default"/>
        <w:tabs>
          <w:tab w:val="left" w:pos="720"/>
        </w:tabs>
        <w:rPr>
          <w:rFonts w:asciiTheme="minorHAnsi" w:hAnsiTheme="minorHAnsi"/>
          <w:sz w:val="22"/>
          <w:szCs w:val="22"/>
        </w:rPr>
      </w:pPr>
    </w:p>
    <w:p w:rsidR="001B4E44" w:rsidRDefault="001B4E44" w:rsidP="001B4E44">
      <w:pPr>
        <w:pStyle w:val="Default"/>
        <w:tabs>
          <w:tab w:val="left" w:pos="720"/>
        </w:tabs>
        <w:rPr>
          <w:rFonts w:asciiTheme="minorHAnsi" w:hAnsiTheme="minorHAnsi"/>
          <w:sz w:val="22"/>
          <w:szCs w:val="22"/>
        </w:rPr>
      </w:pPr>
      <w:proofErr w:type="gramStart"/>
      <w:r>
        <w:rPr>
          <w:rFonts w:asciiTheme="minorHAnsi" w:hAnsiTheme="minorHAnsi"/>
          <w:sz w:val="22"/>
          <w:szCs w:val="22"/>
        </w:rPr>
        <w:t>IMF, 2012.</w:t>
      </w:r>
      <w:proofErr w:type="gramEnd"/>
      <w:r>
        <w:rPr>
          <w:rFonts w:asciiTheme="minorHAnsi" w:hAnsiTheme="minorHAnsi"/>
          <w:sz w:val="22"/>
          <w:szCs w:val="22"/>
        </w:rPr>
        <w:t xml:space="preserve"> ‘Liberalizing Capital Flows and Managing Outflows’, International Monetary Fund. </w:t>
      </w:r>
      <w:hyperlink r:id="rId22" w:history="1">
        <w:r>
          <w:rPr>
            <w:rStyle w:val="Hyperlink"/>
            <w:rFonts w:asciiTheme="minorHAnsi" w:hAnsiTheme="minorHAnsi"/>
            <w:sz w:val="22"/>
            <w:szCs w:val="22"/>
          </w:rPr>
          <w:t>https://www.imf.org/external/np/pp/eng/2012/031312.pdf</w:t>
        </w:r>
      </w:hyperlink>
      <w:r>
        <w:rPr>
          <w:rFonts w:asciiTheme="minorHAnsi" w:hAnsiTheme="minorHAnsi"/>
          <w:sz w:val="22"/>
          <w:szCs w:val="22"/>
        </w:rPr>
        <w:t xml:space="preserve">  </w:t>
      </w:r>
    </w:p>
    <w:p w:rsidR="001B4E44" w:rsidRDefault="001B4E44" w:rsidP="001B4E44">
      <w:pPr>
        <w:pStyle w:val="Default"/>
        <w:tabs>
          <w:tab w:val="left" w:pos="720"/>
        </w:tabs>
        <w:rPr>
          <w:rFonts w:asciiTheme="minorHAnsi" w:hAnsiTheme="minorHAnsi"/>
          <w:sz w:val="22"/>
          <w:szCs w:val="22"/>
        </w:rPr>
      </w:pPr>
    </w:p>
    <w:p w:rsidR="001B4E44" w:rsidRDefault="001B4E44" w:rsidP="001B4E44">
      <w:pPr>
        <w:pStyle w:val="Default"/>
        <w:tabs>
          <w:tab w:val="left" w:pos="720"/>
        </w:tabs>
        <w:rPr>
          <w:rFonts w:asciiTheme="minorHAnsi" w:hAnsiTheme="minorHAnsi"/>
          <w:sz w:val="22"/>
          <w:szCs w:val="22"/>
        </w:rPr>
      </w:pPr>
      <w:proofErr w:type="spellStart"/>
      <w:r>
        <w:rPr>
          <w:rFonts w:asciiTheme="minorHAnsi" w:hAnsiTheme="minorHAnsi"/>
          <w:sz w:val="22"/>
          <w:szCs w:val="22"/>
        </w:rPr>
        <w:t>Kharkar</w:t>
      </w:r>
      <w:proofErr w:type="spellEnd"/>
      <w:r>
        <w:rPr>
          <w:rFonts w:asciiTheme="minorHAnsi" w:hAnsiTheme="minorHAnsi"/>
          <w:sz w:val="22"/>
          <w:szCs w:val="22"/>
        </w:rPr>
        <w:t>, P. 2012. ‘Countercyclical Capital Buffer’, Financial Stability Report, Bank of Uganda, June.</w:t>
      </w:r>
    </w:p>
    <w:p w:rsidR="001B4E44" w:rsidRDefault="001B4E44" w:rsidP="001B4E44">
      <w:pPr>
        <w:pStyle w:val="Default"/>
        <w:tabs>
          <w:tab w:val="left" w:pos="720"/>
        </w:tabs>
        <w:rPr>
          <w:rFonts w:asciiTheme="minorHAnsi" w:hAnsiTheme="minorHAnsi"/>
          <w:sz w:val="22"/>
          <w:szCs w:val="22"/>
        </w:rPr>
      </w:pPr>
    </w:p>
    <w:p w:rsidR="001B4E44" w:rsidRDefault="001B4E44" w:rsidP="001B4E44">
      <w:pPr>
        <w:pStyle w:val="Default"/>
        <w:tabs>
          <w:tab w:val="left" w:pos="720"/>
        </w:tabs>
        <w:rPr>
          <w:rFonts w:asciiTheme="minorHAnsi" w:hAnsiTheme="minorHAnsi"/>
          <w:sz w:val="22"/>
          <w:szCs w:val="22"/>
        </w:rPr>
      </w:pPr>
      <w:r>
        <w:rPr>
          <w:rFonts w:asciiTheme="minorHAnsi" w:hAnsiTheme="minorHAnsi"/>
          <w:sz w:val="22"/>
          <w:szCs w:val="22"/>
        </w:rPr>
        <w:t xml:space="preserve">Kawai, M. and </w:t>
      </w:r>
      <w:proofErr w:type="spellStart"/>
      <w:r>
        <w:rPr>
          <w:rFonts w:asciiTheme="minorHAnsi" w:hAnsiTheme="minorHAnsi"/>
          <w:sz w:val="22"/>
          <w:szCs w:val="22"/>
        </w:rPr>
        <w:t>Lamberte</w:t>
      </w:r>
      <w:proofErr w:type="spellEnd"/>
      <w:r>
        <w:rPr>
          <w:rFonts w:asciiTheme="minorHAnsi" w:hAnsiTheme="minorHAnsi"/>
          <w:sz w:val="22"/>
          <w:szCs w:val="22"/>
        </w:rPr>
        <w:t>, M. B. (</w:t>
      </w:r>
      <w:proofErr w:type="spellStart"/>
      <w:proofErr w:type="gramStart"/>
      <w:r>
        <w:rPr>
          <w:rFonts w:asciiTheme="minorHAnsi" w:hAnsiTheme="minorHAnsi"/>
          <w:sz w:val="22"/>
          <w:szCs w:val="22"/>
        </w:rPr>
        <w:t>eds</w:t>
      </w:r>
      <w:proofErr w:type="spellEnd"/>
      <w:proofErr w:type="gramEnd"/>
      <w:r>
        <w:rPr>
          <w:rFonts w:asciiTheme="minorHAnsi" w:hAnsiTheme="minorHAnsi"/>
          <w:sz w:val="22"/>
          <w:szCs w:val="22"/>
        </w:rPr>
        <w:t xml:space="preserve">) 2010. </w:t>
      </w:r>
      <w:r>
        <w:rPr>
          <w:rFonts w:asciiTheme="minorHAnsi" w:hAnsiTheme="minorHAnsi"/>
          <w:i/>
          <w:sz w:val="22"/>
          <w:szCs w:val="22"/>
        </w:rPr>
        <w:t>Managing Capital Flows: The Search for a Framework</w:t>
      </w:r>
      <w:r>
        <w:rPr>
          <w:rFonts w:asciiTheme="minorHAnsi" w:hAnsiTheme="minorHAnsi"/>
          <w:sz w:val="22"/>
          <w:szCs w:val="22"/>
        </w:rPr>
        <w:t>. Cheltenham, UK: Edward Elgar.</w:t>
      </w:r>
    </w:p>
    <w:p w:rsidR="001B4E44" w:rsidRDefault="001B4E44" w:rsidP="001B4E44">
      <w:pPr>
        <w:pStyle w:val="Default"/>
        <w:tabs>
          <w:tab w:val="left" w:pos="720"/>
        </w:tabs>
        <w:rPr>
          <w:rFonts w:asciiTheme="minorHAnsi" w:hAnsiTheme="minorHAnsi"/>
          <w:sz w:val="22"/>
          <w:szCs w:val="22"/>
        </w:rPr>
      </w:pPr>
    </w:p>
    <w:p w:rsidR="001B4E44" w:rsidRDefault="001B4E44" w:rsidP="001B4E44">
      <w:pPr>
        <w:pStyle w:val="Default"/>
        <w:tabs>
          <w:tab w:val="left" w:pos="720"/>
        </w:tabs>
        <w:rPr>
          <w:rFonts w:asciiTheme="minorHAnsi" w:hAnsiTheme="minorHAnsi"/>
          <w:sz w:val="22"/>
          <w:szCs w:val="22"/>
        </w:rPr>
      </w:pPr>
      <w:r>
        <w:rPr>
          <w:rFonts w:asciiTheme="minorHAnsi" w:hAnsiTheme="minorHAnsi"/>
          <w:sz w:val="22"/>
          <w:szCs w:val="22"/>
        </w:rPr>
        <w:t xml:space="preserve">Keynes, J. M. 1936. </w:t>
      </w:r>
      <w:proofErr w:type="gramStart"/>
      <w:r>
        <w:rPr>
          <w:rFonts w:asciiTheme="minorHAnsi" w:hAnsiTheme="minorHAnsi"/>
          <w:i/>
          <w:sz w:val="22"/>
          <w:szCs w:val="22"/>
        </w:rPr>
        <w:t>The General Theory of Employment, Interest and Money</w:t>
      </w:r>
      <w:r>
        <w:rPr>
          <w:rFonts w:asciiTheme="minorHAnsi" w:hAnsiTheme="minorHAnsi"/>
          <w:sz w:val="22"/>
          <w:szCs w:val="22"/>
        </w:rPr>
        <w:t>.</w:t>
      </w:r>
      <w:proofErr w:type="gramEnd"/>
      <w:r>
        <w:rPr>
          <w:rFonts w:asciiTheme="minorHAnsi" w:hAnsiTheme="minorHAnsi"/>
          <w:sz w:val="22"/>
          <w:szCs w:val="22"/>
        </w:rPr>
        <w:t xml:space="preserve"> Macmillan: UK</w:t>
      </w:r>
    </w:p>
    <w:p w:rsidR="001B4E44" w:rsidRDefault="001B4E44" w:rsidP="001B4E44">
      <w:pPr>
        <w:pStyle w:val="Default"/>
        <w:tabs>
          <w:tab w:val="left" w:pos="720"/>
        </w:tabs>
        <w:rPr>
          <w:rFonts w:asciiTheme="minorHAnsi" w:hAnsiTheme="minorHAnsi"/>
          <w:sz w:val="22"/>
          <w:szCs w:val="22"/>
        </w:rPr>
      </w:pPr>
    </w:p>
    <w:p w:rsidR="001B4E44" w:rsidRDefault="001B4E44" w:rsidP="001B4E44">
      <w:pPr>
        <w:pStyle w:val="Default"/>
        <w:tabs>
          <w:tab w:val="left" w:pos="720"/>
        </w:tabs>
        <w:rPr>
          <w:rFonts w:asciiTheme="minorHAnsi" w:hAnsiTheme="minorHAnsi"/>
          <w:sz w:val="22"/>
          <w:szCs w:val="22"/>
        </w:rPr>
      </w:pPr>
      <w:proofErr w:type="spellStart"/>
      <w:r>
        <w:rPr>
          <w:rFonts w:asciiTheme="minorHAnsi" w:hAnsiTheme="minorHAnsi"/>
          <w:sz w:val="22"/>
          <w:szCs w:val="22"/>
        </w:rPr>
        <w:t>Kindleberger</w:t>
      </w:r>
      <w:proofErr w:type="spellEnd"/>
      <w:r>
        <w:rPr>
          <w:rFonts w:asciiTheme="minorHAnsi" w:hAnsiTheme="minorHAnsi"/>
          <w:sz w:val="22"/>
          <w:szCs w:val="22"/>
        </w:rPr>
        <w:t xml:space="preserve">, C. P. 1978. </w:t>
      </w:r>
      <w:r>
        <w:rPr>
          <w:rFonts w:asciiTheme="minorHAnsi" w:hAnsiTheme="minorHAnsi"/>
          <w:i/>
          <w:iCs/>
          <w:sz w:val="22"/>
          <w:szCs w:val="22"/>
        </w:rPr>
        <w:t>Manias, Panics, and Crashes: A History of Financial Crises</w:t>
      </w:r>
      <w:r>
        <w:rPr>
          <w:rFonts w:asciiTheme="minorHAnsi" w:hAnsiTheme="minorHAnsi"/>
          <w:sz w:val="22"/>
          <w:szCs w:val="22"/>
        </w:rPr>
        <w:t xml:space="preserve">, Basic Books, New York. </w:t>
      </w:r>
    </w:p>
    <w:p w:rsidR="001B4E44" w:rsidRDefault="001B4E44" w:rsidP="001B4E44">
      <w:pPr>
        <w:pStyle w:val="Default"/>
        <w:tabs>
          <w:tab w:val="left" w:pos="720"/>
        </w:tabs>
        <w:rPr>
          <w:rFonts w:asciiTheme="minorHAnsi" w:hAnsiTheme="minorHAnsi"/>
          <w:sz w:val="22"/>
          <w:szCs w:val="22"/>
        </w:rPr>
      </w:pPr>
    </w:p>
    <w:p w:rsidR="001B4E44" w:rsidRDefault="001B4E44" w:rsidP="001B4E44">
      <w:pPr>
        <w:tabs>
          <w:tab w:val="left" w:pos="720"/>
        </w:tabs>
      </w:pPr>
      <w:proofErr w:type="spellStart"/>
      <w:proofErr w:type="gramStart"/>
      <w:r>
        <w:t>Larosière</w:t>
      </w:r>
      <w:proofErr w:type="spellEnd"/>
      <w:r>
        <w:t xml:space="preserve"> Commission 2009.</w:t>
      </w:r>
      <w:proofErr w:type="gramEnd"/>
      <w:r>
        <w:t xml:space="preserve"> </w:t>
      </w:r>
      <w:proofErr w:type="gramStart"/>
      <w:r>
        <w:t>‘The High Level Group on Financial Supervision in the EU’, Brussels.</w:t>
      </w:r>
      <w:proofErr w:type="gramEnd"/>
      <w:r>
        <w:t xml:space="preserve"> http://ec.europa.eu/internal_market/finances/docs/de_larosiere_report_en.pdf</w:t>
      </w:r>
    </w:p>
    <w:p w:rsidR="001B4E44" w:rsidRDefault="001B4E44" w:rsidP="001B4E44">
      <w:pPr>
        <w:tabs>
          <w:tab w:val="left" w:pos="720"/>
        </w:tabs>
        <w:jc w:val="both"/>
        <w:rPr>
          <w:rFonts w:cs="Times New Roman"/>
        </w:rPr>
      </w:pPr>
      <w:r>
        <w:rPr>
          <w:rFonts w:cs="Times New Roman"/>
        </w:rPr>
        <w:t xml:space="preserve">Levine, R. 2005. ‘Finance and growth: Theory and evidence’ in </w:t>
      </w:r>
      <w:proofErr w:type="spellStart"/>
      <w:r>
        <w:rPr>
          <w:rFonts w:cs="Times New Roman"/>
        </w:rPr>
        <w:t>Aghion</w:t>
      </w:r>
      <w:proofErr w:type="spellEnd"/>
      <w:r>
        <w:rPr>
          <w:rFonts w:cs="Times New Roman"/>
        </w:rPr>
        <w:t xml:space="preserve">, P. and </w:t>
      </w:r>
      <w:proofErr w:type="spellStart"/>
      <w:r>
        <w:rPr>
          <w:rFonts w:cs="Times New Roman"/>
        </w:rPr>
        <w:t>Durlauf</w:t>
      </w:r>
      <w:proofErr w:type="spellEnd"/>
      <w:r>
        <w:rPr>
          <w:rFonts w:cs="Times New Roman"/>
        </w:rPr>
        <w:t>, S. (</w:t>
      </w:r>
      <w:proofErr w:type="spellStart"/>
      <w:proofErr w:type="gramStart"/>
      <w:r>
        <w:rPr>
          <w:rFonts w:cs="Times New Roman"/>
        </w:rPr>
        <w:t>eds</w:t>
      </w:r>
      <w:proofErr w:type="spellEnd"/>
      <w:proofErr w:type="gramEnd"/>
      <w:r>
        <w:rPr>
          <w:rFonts w:cs="Times New Roman"/>
        </w:rPr>
        <w:t xml:space="preserve">), </w:t>
      </w:r>
      <w:r>
        <w:rPr>
          <w:rFonts w:cs="Times New Roman"/>
          <w:i/>
          <w:iCs/>
        </w:rPr>
        <w:t>Handbook of Economic Growth</w:t>
      </w:r>
      <w:r>
        <w:rPr>
          <w:rFonts w:cs="Times New Roman"/>
        </w:rPr>
        <w:t>, Vol. 1, London: Elsevier, pp. 865–34.</w:t>
      </w:r>
    </w:p>
    <w:p w:rsidR="001B4E44" w:rsidRDefault="001B4E44" w:rsidP="001B4E44">
      <w:pPr>
        <w:tabs>
          <w:tab w:val="left" w:pos="720"/>
        </w:tabs>
      </w:pPr>
      <w:proofErr w:type="spellStart"/>
      <w:proofErr w:type="gramStart"/>
      <w:r>
        <w:lastRenderedPageBreak/>
        <w:t>Magud</w:t>
      </w:r>
      <w:proofErr w:type="spellEnd"/>
      <w:r>
        <w:t>, N. and Reinhart, C. M. 2007.</w:t>
      </w:r>
      <w:proofErr w:type="gramEnd"/>
      <w:r>
        <w:t xml:space="preserve"> ‘Capital Controls: An Evaluation,’ NBER Chapters, in: </w:t>
      </w:r>
      <w:r>
        <w:rPr>
          <w:i/>
        </w:rPr>
        <w:t>Capital Controls and Capital Flows in Emerging Economies: Policies, Practices and Consequences</w:t>
      </w:r>
      <w:r>
        <w:t xml:space="preserve">, National Bureau of Economic Research, </w:t>
      </w:r>
      <w:proofErr w:type="spellStart"/>
      <w:r>
        <w:t>Inc</w:t>
      </w:r>
      <w:proofErr w:type="spellEnd"/>
      <w:r>
        <w:t>, pp. 645-674.</w:t>
      </w:r>
    </w:p>
    <w:p w:rsidR="001B4E44" w:rsidRDefault="001B4E44" w:rsidP="001B4E44">
      <w:pPr>
        <w:tabs>
          <w:tab w:val="left" w:pos="720"/>
        </w:tabs>
      </w:pPr>
      <w:proofErr w:type="gramStart"/>
      <w:r>
        <w:t>Marshall, A. 1923.</w:t>
      </w:r>
      <w:proofErr w:type="gramEnd"/>
      <w:r>
        <w:t xml:space="preserve"> </w:t>
      </w:r>
      <w:proofErr w:type="gramStart"/>
      <w:r>
        <w:rPr>
          <w:i/>
        </w:rPr>
        <w:t>Money, Credit, and Commerce</w:t>
      </w:r>
      <w:r>
        <w:t>.</w:t>
      </w:r>
      <w:proofErr w:type="gramEnd"/>
      <w:r>
        <w:t xml:space="preserve"> London: Macmillan.</w:t>
      </w:r>
    </w:p>
    <w:p w:rsidR="001B4E44" w:rsidRDefault="001B4E44" w:rsidP="001B4E44">
      <w:pPr>
        <w:tabs>
          <w:tab w:val="left" w:pos="720"/>
        </w:tabs>
      </w:pPr>
      <w:r>
        <w:t>Massa, I. 2013. ‘Literature survey on capital account management in low-income countries’, paper prepared for ESRC/</w:t>
      </w:r>
      <w:proofErr w:type="spellStart"/>
      <w:r>
        <w:t>DfID</w:t>
      </w:r>
      <w:proofErr w:type="spellEnd"/>
      <w:r>
        <w:t xml:space="preserve"> project on financial regulation in Low Income Countries. </w:t>
      </w:r>
      <w:proofErr w:type="gramStart"/>
      <w:r>
        <w:t>ODI.</w:t>
      </w:r>
      <w:proofErr w:type="gramEnd"/>
    </w:p>
    <w:p w:rsidR="001B4E44" w:rsidRDefault="001B4E44" w:rsidP="001B4E44">
      <w:pPr>
        <w:tabs>
          <w:tab w:val="left" w:pos="720"/>
        </w:tabs>
        <w:jc w:val="both"/>
        <w:rPr>
          <w:rFonts w:cs="Times New Roman"/>
        </w:rPr>
      </w:pPr>
      <w:proofErr w:type="gramStart"/>
      <w:r>
        <w:rPr>
          <w:rFonts w:cs="Times New Roman"/>
        </w:rPr>
        <w:t>Minsky, H. P. 1974.</w:t>
      </w:r>
      <w:proofErr w:type="gramEnd"/>
      <w:r>
        <w:rPr>
          <w:rFonts w:cs="Times New Roman"/>
        </w:rPr>
        <w:t xml:space="preserve"> ‘The model</w:t>
      </w:r>
      <w:r w:rsidR="00165C8F">
        <w:rPr>
          <w:rFonts w:cs="Times New Roman"/>
        </w:rPr>
        <w:t>l</w:t>
      </w:r>
      <w:r>
        <w:rPr>
          <w:rFonts w:cs="Times New Roman"/>
        </w:rPr>
        <w:t xml:space="preserve">ing of financial instability: An introduction,’ in </w:t>
      </w:r>
      <w:r>
        <w:rPr>
          <w:rFonts w:cs="Times New Roman"/>
          <w:i/>
          <w:iCs/>
        </w:rPr>
        <w:t>Modelling and Simulation</w:t>
      </w:r>
      <w:r>
        <w:rPr>
          <w:rFonts w:cs="Times New Roman"/>
        </w:rPr>
        <w:t>, Vol. 5, Proceedings of the Fifth Annual Pittsburgh Conference, Instruments Society of America, pp. 267–72.</w:t>
      </w:r>
    </w:p>
    <w:p w:rsidR="001B4E44" w:rsidRDefault="001B4E44" w:rsidP="001B4E44">
      <w:pPr>
        <w:tabs>
          <w:tab w:val="left" w:pos="720"/>
        </w:tabs>
        <w:rPr>
          <w:i/>
        </w:rPr>
      </w:pPr>
      <w:proofErr w:type="gramStart"/>
      <w:r>
        <w:t>Minsky, H. P. 1977.</w:t>
      </w:r>
      <w:proofErr w:type="gramEnd"/>
      <w:r>
        <w:t xml:space="preserve"> ‘A theory of Systemic Fragility’, in Altman, E. and </w:t>
      </w:r>
      <w:proofErr w:type="spellStart"/>
      <w:r>
        <w:t>Sametz</w:t>
      </w:r>
      <w:proofErr w:type="spellEnd"/>
      <w:r>
        <w:t>, A. (</w:t>
      </w:r>
      <w:proofErr w:type="spellStart"/>
      <w:proofErr w:type="gramStart"/>
      <w:r>
        <w:t>eds</w:t>
      </w:r>
      <w:proofErr w:type="spellEnd"/>
      <w:proofErr w:type="gramEnd"/>
      <w:r>
        <w:t xml:space="preserve">) </w:t>
      </w:r>
      <w:r>
        <w:rPr>
          <w:i/>
        </w:rPr>
        <w:t>Financial Crises</w:t>
      </w:r>
      <w:r>
        <w:t>, New York: Wiley.</w:t>
      </w:r>
    </w:p>
    <w:p w:rsidR="001B4E44" w:rsidRDefault="001B4E44" w:rsidP="001B4E44">
      <w:pPr>
        <w:tabs>
          <w:tab w:val="left" w:pos="720"/>
        </w:tabs>
      </w:pPr>
      <w:proofErr w:type="spellStart"/>
      <w:r>
        <w:t>Mishkin</w:t>
      </w:r>
      <w:proofErr w:type="spellEnd"/>
      <w:r>
        <w:t xml:space="preserve"> (1996) ‘Understanding Financial Crises: A Developing Country Perspective’, </w:t>
      </w:r>
      <w:r>
        <w:rPr>
          <w:i/>
        </w:rPr>
        <w:t>NBER Working Paper Series</w:t>
      </w:r>
      <w:r>
        <w:t>, No. 5600, May.</w:t>
      </w:r>
    </w:p>
    <w:p w:rsidR="001B4E44" w:rsidRDefault="001B4E44" w:rsidP="001B4E44">
      <w:pPr>
        <w:tabs>
          <w:tab w:val="left" w:pos="720"/>
        </w:tabs>
      </w:pPr>
      <w:r>
        <w:t>Ocampo, J. A.  2012. ‘The Case For and Experience with Capital Account Regulations’, in Gallagher, K., Griffith-Jones, S. and Ocampo, J. A. (</w:t>
      </w:r>
      <w:proofErr w:type="spellStart"/>
      <w:r>
        <w:t>eds</w:t>
      </w:r>
      <w:proofErr w:type="spellEnd"/>
      <w:r>
        <w:t xml:space="preserve">) </w:t>
      </w:r>
      <w:r>
        <w:rPr>
          <w:i/>
        </w:rPr>
        <w:t>Regulating Global Capital Flows for Long-Run Development</w:t>
      </w:r>
      <w:r>
        <w:t xml:space="preserve">, Boston: Boston University. pp. 13- 22 </w:t>
      </w:r>
      <w:hyperlink r:id="rId23" w:history="1">
        <w:r>
          <w:rPr>
            <w:rStyle w:val="Hyperlink"/>
          </w:rPr>
          <w:t>http://stephanygj.net/papers/RegulatingGlobalCapitalFlowsForLongRunDevelopment2012.pdf</w:t>
        </w:r>
      </w:hyperlink>
      <w:r>
        <w:t xml:space="preserve"> </w:t>
      </w:r>
    </w:p>
    <w:p w:rsidR="001B4E44" w:rsidRDefault="001B4E44" w:rsidP="001B4E44">
      <w:pPr>
        <w:tabs>
          <w:tab w:val="left" w:pos="720"/>
        </w:tabs>
      </w:pPr>
      <w:r>
        <w:t xml:space="preserve">Ocampo, J. A. 2013. ‘Reforming the International Monetary and Financial Architecture’, paper prepared for the </w:t>
      </w:r>
      <w:proofErr w:type="spellStart"/>
      <w:r>
        <w:t>Committe</w:t>
      </w:r>
      <w:proofErr w:type="spellEnd"/>
      <w:r>
        <w:t xml:space="preserve"> for Development Policy of ECOSOC. </w:t>
      </w:r>
      <w:proofErr w:type="gramStart"/>
      <w:r>
        <w:t>Forthcoming.</w:t>
      </w:r>
      <w:proofErr w:type="gramEnd"/>
      <w:r>
        <w:t xml:space="preserve"> </w:t>
      </w:r>
    </w:p>
    <w:p w:rsidR="001B4E44" w:rsidRDefault="001B4E44" w:rsidP="001B4E44">
      <w:pPr>
        <w:pStyle w:val="Default"/>
        <w:tabs>
          <w:tab w:val="left" w:pos="720"/>
        </w:tabs>
        <w:rPr>
          <w:rFonts w:asciiTheme="minorHAnsi" w:hAnsiTheme="minorHAnsi"/>
          <w:sz w:val="22"/>
          <w:szCs w:val="22"/>
        </w:rPr>
      </w:pPr>
      <w:proofErr w:type="spellStart"/>
      <w:proofErr w:type="gramStart"/>
      <w:r>
        <w:rPr>
          <w:rFonts w:asciiTheme="minorHAnsi" w:hAnsiTheme="minorHAnsi"/>
          <w:sz w:val="22"/>
          <w:szCs w:val="22"/>
        </w:rPr>
        <w:t>Ostry</w:t>
      </w:r>
      <w:proofErr w:type="spellEnd"/>
      <w:r>
        <w:rPr>
          <w:rFonts w:asciiTheme="minorHAnsi" w:hAnsiTheme="minorHAnsi"/>
          <w:sz w:val="22"/>
          <w:szCs w:val="22"/>
        </w:rPr>
        <w:t xml:space="preserve">, J. D., Ghosh, A. R., </w:t>
      </w:r>
      <w:proofErr w:type="spellStart"/>
      <w:r>
        <w:rPr>
          <w:rFonts w:asciiTheme="minorHAnsi" w:hAnsiTheme="minorHAnsi"/>
          <w:sz w:val="22"/>
          <w:szCs w:val="22"/>
        </w:rPr>
        <w:t>Habermeier</w:t>
      </w:r>
      <w:proofErr w:type="spellEnd"/>
      <w:r>
        <w:rPr>
          <w:rFonts w:asciiTheme="minorHAnsi" w:hAnsiTheme="minorHAnsi"/>
          <w:sz w:val="22"/>
          <w:szCs w:val="22"/>
        </w:rPr>
        <w:t xml:space="preserve">, K., </w:t>
      </w:r>
      <w:proofErr w:type="spellStart"/>
      <w:r>
        <w:rPr>
          <w:rFonts w:asciiTheme="minorHAnsi" w:hAnsiTheme="minorHAnsi"/>
          <w:sz w:val="22"/>
          <w:szCs w:val="22"/>
        </w:rPr>
        <w:t>Chamon</w:t>
      </w:r>
      <w:proofErr w:type="spellEnd"/>
      <w:r>
        <w:rPr>
          <w:rFonts w:asciiTheme="minorHAnsi" w:hAnsiTheme="minorHAnsi"/>
          <w:sz w:val="22"/>
          <w:szCs w:val="22"/>
        </w:rPr>
        <w:t>, M., Qureshi, M. S. and Reinhardt, D. B.S. 2010.</w:t>
      </w:r>
      <w:proofErr w:type="gramEnd"/>
      <w:r>
        <w:rPr>
          <w:rFonts w:asciiTheme="minorHAnsi" w:hAnsiTheme="minorHAnsi"/>
          <w:sz w:val="22"/>
          <w:szCs w:val="22"/>
        </w:rPr>
        <w:t xml:space="preserve"> ‘Capital Inflows: The Role of Controls.’ </w:t>
      </w:r>
      <w:proofErr w:type="gramStart"/>
      <w:r>
        <w:rPr>
          <w:rFonts w:asciiTheme="minorHAnsi" w:hAnsiTheme="minorHAnsi"/>
          <w:sz w:val="22"/>
          <w:szCs w:val="22"/>
        </w:rPr>
        <w:t xml:space="preserve">In </w:t>
      </w:r>
      <w:r>
        <w:rPr>
          <w:rFonts w:asciiTheme="minorHAnsi" w:hAnsiTheme="minorHAnsi"/>
          <w:i/>
          <w:iCs/>
          <w:sz w:val="22"/>
          <w:szCs w:val="22"/>
        </w:rPr>
        <w:t>IMF Staff Position Note</w:t>
      </w:r>
      <w:r>
        <w:rPr>
          <w:rFonts w:asciiTheme="minorHAnsi" w:hAnsiTheme="minorHAnsi"/>
          <w:sz w:val="22"/>
          <w:szCs w:val="22"/>
        </w:rPr>
        <w:t>.</w:t>
      </w:r>
      <w:proofErr w:type="gramEnd"/>
      <w:r>
        <w:rPr>
          <w:rFonts w:asciiTheme="minorHAnsi" w:hAnsiTheme="minorHAnsi"/>
          <w:sz w:val="22"/>
          <w:szCs w:val="22"/>
        </w:rPr>
        <w:t xml:space="preserve"> Washington, D.C.: International Monetary Fund.</w:t>
      </w:r>
    </w:p>
    <w:p w:rsidR="001B4E44" w:rsidRDefault="001B4E44" w:rsidP="001B4E44">
      <w:pPr>
        <w:pStyle w:val="Default"/>
        <w:tabs>
          <w:tab w:val="left" w:pos="720"/>
        </w:tabs>
        <w:rPr>
          <w:rFonts w:asciiTheme="minorHAnsi" w:hAnsiTheme="minorHAnsi"/>
          <w:sz w:val="22"/>
          <w:szCs w:val="22"/>
        </w:rPr>
      </w:pPr>
    </w:p>
    <w:p w:rsidR="001B4E44" w:rsidRDefault="001B4E44" w:rsidP="001B4E44">
      <w:pPr>
        <w:tabs>
          <w:tab w:val="left" w:pos="720"/>
        </w:tabs>
        <w:jc w:val="both"/>
      </w:pPr>
      <w:r>
        <w:t xml:space="preserve">Pisani-Ferry, J. and Merler, S. 2012. </w:t>
      </w:r>
      <w:proofErr w:type="gramStart"/>
      <w:r>
        <w:t xml:space="preserve">‘Sudden stops in the Eurozone’, </w:t>
      </w:r>
      <w:proofErr w:type="spellStart"/>
      <w:r>
        <w:rPr>
          <w:i/>
        </w:rPr>
        <w:t>Vox</w:t>
      </w:r>
      <w:proofErr w:type="spellEnd"/>
      <w:r>
        <w:rPr>
          <w:i/>
        </w:rPr>
        <w:t xml:space="preserve"> EU</w:t>
      </w:r>
      <w:r>
        <w:t>, 2nd April.</w:t>
      </w:r>
      <w:proofErr w:type="gramEnd"/>
      <w:r>
        <w:t xml:space="preserve"> </w:t>
      </w:r>
      <w:hyperlink r:id="rId24" w:history="1">
        <w:r>
          <w:rPr>
            <w:rStyle w:val="Hyperlink"/>
          </w:rPr>
          <w:t>http://www.voxeu.org/article/public-capital-flows-replacing-private-flows-eurozone-what-it-means-policy</w:t>
        </w:r>
      </w:hyperlink>
    </w:p>
    <w:p w:rsidR="001B4E44" w:rsidRDefault="001B4E44" w:rsidP="001B4E44">
      <w:pPr>
        <w:tabs>
          <w:tab w:val="left" w:pos="720"/>
        </w:tabs>
        <w:jc w:val="both"/>
        <w:rPr>
          <w:rFonts w:cs="Times New Roman"/>
        </w:rPr>
      </w:pPr>
      <w:proofErr w:type="gramStart"/>
      <w:r>
        <w:rPr>
          <w:rFonts w:cs="Times New Roman"/>
        </w:rPr>
        <w:t>Rajan, R. G. 2005.</w:t>
      </w:r>
      <w:proofErr w:type="gramEnd"/>
      <w:r>
        <w:rPr>
          <w:rFonts w:cs="Times New Roman"/>
        </w:rPr>
        <w:t xml:space="preserve"> ‘Has financial development made the world riskier?’ </w:t>
      </w:r>
      <w:proofErr w:type="gramStart"/>
      <w:r>
        <w:rPr>
          <w:rFonts w:cs="Times New Roman"/>
        </w:rPr>
        <w:t>Proceedings of the 2005 Jackson Hole Conference organized by the Kansas City Fed.</w:t>
      </w:r>
      <w:proofErr w:type="gramEnd"/>
    </w:p>
    <w:p w:rsidR="001B4E44" w:rsidRDefault="001B4E44" w:rsidP="001B4E44">
      <w:pPr>
        <w:tabs>
          <w:tab w:val="left" w:pos="720"/>
        </w:tabs>
      </w:pPr>
      <w:r>
        <w:t xml:space="preserve">Reinhart, C. M. and </w:t>
      </w:r>
      <w:proofErr w:type="spellStart"/>
      <w:r>
        <w:t>Rogoff</w:t>
      </w:r>
      <w:proofErr w:type="spellEnd"/>
      <w:r>
        <w:t xml:space="preserve">, K. 2011. </w:t>
      </w:r>
      <w:r>
        <w:rPr>
          <w:i/>
        </w:rPr>
        <w:t>This Time Is Different: Eight Centuries of Financial Folly</w:t>
      </w:r>
      <w:r>
        <w:t xml:space="preserve">, </w:t>
      </w:r>
      <w:proofErr w:type="spellStart"/>
      <w:r>
        <w:t>Princton</w:t>
      </w:r>
      <w:proofErr w:type="spellEnd"/>
      <w:r>
        <w:t xml:space="preserve">: Princeton University Press. </w:t>
      </w:r>
    </w:p>
    <w:p w:rsidR="001B4E44" w:rsidRDefault="001B4E44" w:rsidP="001B4E44">
      <w:pPr>
        <w:tabs>
          <w:tab w:val="left" w:pos="720"/>
        </w:tabs>
      </w:pPr>
      <w:proofErr w:type="spellStart"/>
      <w:r>
        <w:t>Reisen</w:t>
      </w:r>
      <w:proofErr w:type="spellEnd"/>
      <w:r>
        <w:t>, H. 2003. ‘Ratings since the Asian Crisis’, in Ffrench-Davis, R. and Griffith-Jones, S. (</w:t>
      </w:r>
      <w:proofErr w:type="spellStart"/>
      <w:proofErr w:type="gramStart"/>
      <w:r>
        <w:t>eds</w:t>
      </w:r>
      <w:proofErr w:type="spellEnd"/>
      <w:proofErr w:type="gramEnd"/>
      <w:r>
        <w:t xml:space="preserve">) </w:t>
      </w:r>
      <w:r>
        <w:rPr>
          <w:i/>
        </w:rPr>
        <w:t>From Capital Surges to Drought: Seeking Stability for Emerging Economies</w:t>
      </w:r>
      <w:r>
        <w:t>, NY: Palgrave Macmillan, pp. 119-138.</w:t>
      </w:r>
    </w:p>
    <w:p w:rsidR="001B4E44" w:rsidRDefault="001B4E44" w:rsidP="001B4E44">
      <w:pPr>
        <w:tabs>
          <w:tab w:val="left" w:pos="720"/>
        </w:tabs>
      </w:pPr>
      <w:proofErr w:type="spellStart"/>
      <w:proofErr w:type="gramStart"/>
      <w:r>
        <w:t>Rodrik</w:t>
      </w:r>
      <w:proofErr w:type="spellEnd"/>
      <w:r>
        <w:t>, D. and Velasco, A. 2000.</w:t>
      </w:r>
      <w:proofErr w:type="gramEnd"/>
      <w:r>
        <w:t xml:space="preserve"> </w:t>
      </w:r>
      <w:proofErr w:type="gramStart"/>
      <w:r>
        <w:t xml:space="preserve">‘Short-Term Capital Flows,’ </w:t>
      </w:r>
      <w:r>
        <w:rPr>
          <w:i/>
        </w:rPr>
        <w:t>NBER Working Papers 7364</w:t>
      </w:r>
      <w:r>
        <w:t>, National Bureau of Economic Research, Inc.</w:t>
      </w:r>
      <w:proofErr w:type="gramEnd"/>
    </w:p>
    <w:p w:rsidR="001B4E44" w:rsidRDefault="001B4E44" w:rsidP="001B4E44">
      <w:pPr>
        <w:tabs>
          <w:tab w:val="left" w:pos="720"/>
        </w:tabs>
        <w:rPr>
          <w:rFonts w:cs="Times New Roman"/>
          <w:noProof/>
        </w:rPr>
      </w:pPr>
      <w:proofErr w:type="spellStart"/>
      <w:r>
        <w:rPr>
          <w:rFonts w:cs="Times New Roman"/>
        </w:rPr>
        <w:lastRenderedPageBreak/>
        <w:t>Sanusi</w:t>
      </w:r>
      <w:proofErr w:type="spellEnd"/>
      <w:r>
        <w:rPr>
          <w:rFonts w:cs="Times New Roman"/>
        </w:rPr>
        <w:t xml:space="preserve">, L. S. 2010. </w:t>
      </w:r>
      <w:r>
        <w:rPr>
          <w:rFonts w:cs="Times New Roman"/>
          <w:noProof/>
        </w:rPr>
        <w:t>‘The Nigerian Banking Industry: what went wrong and the way forward’, Convocation Lecture delivered at the Convocation Square, Bayero University, Kano, on Friday 26 February.</w:t>
      </w:r>
    </w:p>
    <w:p w:rsidR="001B4E44" w:rsidRDefault="001B4E44" w:rsidP="001B4E44">
      <w:pPr>
        <w:tabs>
          <w:tab w:val="left" w:pos="720"/>
        </w:tabs>
        <w:spacing w:line="240" w:lineRule="atLeast"/>
        <w:jc w:val="both"/>
        <w:rPr>
          <w:rFonts w:cs="Times New Roman"/>
          <w:noProof/>
        </w:rPr>
      </w:pPr>
      <w:r>
        <w:rPr>
          <w:rFonts w:cs="Times New Roman"/>
          <w:noProof/>
        </w:rPr>
        <w:t>Soludo, C. 2004</w:t>
      </w:r>
      <w:bookmarkStart w:id="5" w:name="_ENREF_13"/>
      <w:r>
        <w:rPr>
          <w:rFonts w:cs="Times New Roman"/>
          <w:noProof/>
        </w:rPr>
        <w:t>. Consolidating the Nigerian Banking Industry to Meet the Development Challenges of the 21 Century. Address delivered to the Special Meeting of the Bankers’ Committee, held on July 6, 2004. Abuja: Central Bank of Nigeria.</w:t>
      </w:r>
      <w:bookmarkEnd w:id="5"/>
    </w:p>
    <w:p w:rsidR="001B4E44" w:rsidRDefault="001B4E44" w:rsidP="001B4E44">
      <w:pPr>
        <w:tabs>
          <w:tab w:val="left" w:pos="720"/>
        </w:tabs>
      </w:pPr>
      <w:r>
        <w:t xml:space="preserve">Stiglitz, J. 1994. </w:t>
      </w:r>
      <w:r>
        <w:rPr>
          <w:i/>
        </w:rPr>
        <w:t>Whither Socialism?</w:t>
      </w:r>
      <w:r>
        <w:t xml:space="preserve"> Cambridge, Mass: MIT Press.</w:t>
      </w:r>
    </w:p>
    <w:p w:rsidR="001B4E44" w:rsidRDefault="001B4E44" w:rsidP="001B4E44">
      <w:pPr>
        <w:tabs>
          <w:tab w:val="left" w:pos="720"/>
        </w:tabs>
      </w:pPr>
      <w:r>
        <w:t xml:space="preserve">Stiglitz Commission (2009) ‘Report of the Commission of Experts of the President of the United Nations General Assembly on Reforms of the International Monetary and Financial </w:t>
      </w:r>
      <w:proofErr w:type="gramStart"/>
      <w:r>
        <w:t>System’,</w:t>
      </w:r>
      <w:proofErr w:type="gramEnd"/>
      <w:r>
        <w:t xml:space="preserve"> United Nations. http://www.un.org/ga/econcrisissummit/docs/FinalReport_CoE.pdf</w:t>
      </w:r>
    </w:p>
    <w:p w:rsidR="001B4E44" w:rsidRDefault="001B4E44" w:rsidP="001B4E44">
      <w:pPr>
        <w:tabs>
          <w:tab w:val="left" w:pos="720"/>
        </w:tabs>
      </w:pPr>
      <w:proofErr w:type="gramStart"/>
      <w:r>
        <w:t>Stiglitz, J. and Weiss, A. 1981.</w:t>
      </w:r>
      <w:proofErr w:type="gramEnd"/>
      <w:r>
        <w:t xml:space="preserve"> ‘Credit Rationing in Markets with Imperfect Information’, </w:t>
      </w:r>
      <w:proofErr w:type="gramStart"/>
      <w:r>
        <w:rPr>
          <w:i/>
        </w:rPr>
        <w:t>The</w:t>
      </w:r>
      <w:proofErr w:type="gramEnd"/>
      <w:r>
        <w:rPr>
          <w:i/>
        </w:rPr>
        <w:t xml:space="preserve"> American Economic Review</w:t>
      </w:r>
      <w:r>
        <w:t>, 71 (3), pp. 393-410</w:t>
      </w:r>
    </w:p>
    <w:p w:rsidR="001B4E44" w:rsidRDefault="001B4E44" w:rsidP="001B4E44">
      <w:pPr>
        <w:tabs>
          <w:tab w:val="left" w:pos="720"/>
        </w:tabs>
        <w:jc w:val="both"/>
        <w:rPr>
          <w:rFonts w:cs="Times New Roman"/>
        </w:rPr>
      </w:pPr>
      <w:r>
        <w:rPr>
          <w:rFonts w:cs="Times New Roman"/>
        </w:rPr>
        <w:t xml:space="preserve">Tobin, J. 1984. </w:t>
      </w:r>
      <w:proofErr w:type="gramStart"/>
      <w:r>
        <w:rPr>
          <w:rFonts w:cs="Times New Roman"/>
        </w:rPr>
        <w:t>‘On the effi</w:t>
      </w:r>
      <w:r w:rsidR="00165C8F">
        <w:rPr>
          <w:rFonts w:cs="Times New Roman"/>
        </w:rPr>
        <w:t>ciency of the financial system’,</w:t>
      </w:r>
      <w:r>
        <w:rPr>
          <w:rFonts w:cs="Times New Roman"/>
        </w:rPr>
        <w:t xml:space="preserve"> </w:t>
      </w:r>
      <w:r>
        <w:rPr>
          <w:rFonts w:cs="Times New Roman"/>
          <w:i/>
          <w:iCs/>
        </w:rPr>
        <w:t xml:space="preserve">Lloyds Bank Review </w:t>
      </w:r>
      <w:r>
        <w:rPr>
          <w:rFonts w:cs="Times New Roman"/>
        </w:rPr>
        <w:t>153, pp. 1–15.</w:t>
      </w:r>
      <w:proofErr w:type="gramEnd"/>
    </w:p>
    <w:p w:rsidR="001B4E44" w:rsidRDefault="001B4E44" w:rsidP="001B4E44">
      <w:pPr>
        <w:tabs>
          <w:tab w:val="left" w:pos="720"/>
        </w:tabs>
      </w:pPr>
      <w:r>
        <w:t xml:space="preserve">Wampah, H. 2013. ‘What does it take to build a stable and efficient financial sector for sustained growth and structural transformation in Africa’, speech at DEGRP/ODI conference. Forthcoming in Griffith-Jones and </w:t>
      </w:r>
      <w:proofErr w:type="spellStart"/>
      <w:proofErr w:type="gramStart"/>
      <w:r>
        <w:t>te</w:t>
      </w:r>
      <w:proofErr w:type="spellEnd"/>
      <w:proofErr w:type="gramEnd"/>
      <w:r>
        <w:t xml:space="preserve"> </w:t>
      </w:r>
      <w:proofErr w:type="spellStart"/>
      <w:r>
        <w:t>Velde</w:t>
      </w:r>
      <w:proofErr w:type="spellEnd"/>
      <w:r>
        <w:t xml:space="preserve"> 2014. </w:t>
      </w:r>
    </w:p>
    <w:p w:rsidR="001B4E44" w:rsidRDefault="001B4E44" w:rsidP="001B4E44">
      <w:pPr>
        <w:tabs>
          <w:tab w:val="left" w:pos="720"/>
        </w:tabs>
      </w:pPr>
      <w:proofErr w:type="gramStart"/>
      <w:r>
        <w:t>Warwick Commission 2009.</w:t>
      </w:r>
      <w:proofErr w:type="gramEnd"/>
      <w:r>
        <w:t xml:space="preserve"> </w:t>
      </w:r>
      <w:proofErr w:type="gramStart"/>
      <w:r>
        <w:t>‘The Warwick Commission on International Financial Reform: In Pra</w:t>
      </w:r>
      <w:r w:rsidR="00165C8F">
        <w:t xml:space="preserve">ise of </w:t>
      </w:r>
      <w:proofErr w:type="spellStart"/>
      <w:r w:rsidR="00165C8F">
        <w:t>Unlevel</w:t>
      </w:r>
      <w:proofErr w:type="spellEnd"/>
      <w:r w:rsidR="00165C8F">
        <w:t xml:space="preserve"> Playing Fields’, </w:t>
      </w:r>
      <w:r>
        <w:t>Coventry: The University of Warwick.</w:t>
      </w:r>
      <w:proofErr w:type="gramEnd"/>
      <w:r>
        <w:t xml:space="preserve"> http://www2.warwick.ac.uk/research/warwickcommission/financialreform/report/uw_warcomm_intfinreform_09.pdf</w:t>
      </w:r>
    </w:p>
    <w:p w:rsidR="001B4E44" w:rsidRDefault="001B4E44" w:rsidP="001B4E44">
      <w:pPr>
        <w:tabs>
          <w:tab w:val="left" w:pos="720"/>
        </w:tabs>
      </w:pPr>
      <w:proofErr w:type="gramStart"/>
      <w:r>
        <w:t>World Bank, 2013.</w:t>
      </w:r>
      <w:proofErr w:type="gramEnd"/>
      <w:r>
        <w:t xml:space="preserve"> World Data Bank. </w:t>
      </w:r>
    </w:p>
    <w:p w:rsidR="001B4E44" w:rsidRPr="001B4E44" w:rsidRDefault="001B4E44" w:rsidP="00A16735">
      <w:pPr>
        <w:spacing w:line="360" w:lineRule="auto"/>
        <w:jc w:val="both"/>
      </w:pPr>
    </w:p>
    <w:sectPr w:rsidR="001B4E44" w:rsidRPr="001B4E4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212" w:rsidRDefault="00FA1212" w:rsidP="00A14F08">
      <w:pPr>
        <w:spacing w:after="0" w:line="240" w:lineRule="auto"/>
      </w:pPr>
      <w:r>
        <w:separator/>
      </w:r>
    </w:p>
  </w:endnote>
  <w:endnote w:type="continuationSeparator" w:id="0">
    <w:p w:rsidR="00FA1212" w:rsidRDefault="00FA1212" w:rsidP="00A1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ngla MN">
    <w:charset w:val="00"/>
    <w:family w:val="auto"/>
    <w:pitch w:val="variable"/>
    <w:sig w:usb0="80008003" w:usb1="1000C0C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918986"/>
      <w:docPartObj>
        <w:docPartGallery w:val="Page Numbers (Bottom of Page)"/>
        <w:docPartUnique/>
      </w:docPartObj>
    </w:sdtPr>
    <w:sdtEndPr>
      <w:rPr>
        <w:noProof/>
      </w:rPr>
    </w:sdtEndPr>
    <w:sdtContent>
      <w:p w:rsidR="00476A9F" w:rsidRDefault="00476A9F">
        <w:pPr>
          <w:pStyle w:val="Footer"/>
          <w:jc w:val="center"/>
        </w:pPr>
        <w:r>
          <w:fldChar w:fldCharType="begin"/>
        </w:r>
        <w:r>
          <w:instrText xml:space="preserve"> PAGE   \* MERGEFORMAT </w:instrText>
        </w:r>
        <w:r>
          <w:fldChar w:fldCharType="separate"/>
        </w:r>
        <w:r w:rsidR="006832AD">
          <w:rPr>
            <w:noProof/>
          </w:rPr>
          <w:t>1</w:t>
        </w:r>
        <w:r>
          <w:rPr>
            <w:noProof/>
          </w:rPr>
          <w:fldChar w:fldCharType="end"/>
        </w:r>
      </w:p>
    </w:sdtContent>
  </w:sdt>
  <w:p w:rsidR="00476A9F" w:rsidRDefault="00476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212" w:rsidRDefault="00FA1212" w:rsidP="00A14F08">
      <w:pPr>
        <w:spacing w:after="0" w:line="240" w:lineRule="auto"/>
      </w:pPr>
      <w:r>
        <w:separator/>
      </w:r>
    </w:p>
  </w:footnote>
  <w:footnote w:type="continuationSeparator" w:id="0">
    <w:p w:rsidR="00FA1212" w:rsidRDefault="00FA1212" w:rsidP="00A14F08">
      <w:pPr>
        <w:spacing w:after="0" w:line="240" w:lineRule="auto"/>
      </w:pPr>
      <w:r>
        <w:continuationSeparator/>
      </w:r>
    </w:p>
  </w:footnote>
  <w:footnote w:id="1">
    <w:p w:rsidR="00476A9F" w:rsidRPr="00CB4E58" w:rsidRDefault="00476A9F">
      <w:pPr>
        <w:pStyle w:val="FootnoteText"/>
        <w:rPr>
          <w:lang w:val="en-GB"/>
        </w:rPr>
      </w:pPr>
      <w:r>
        <w:rPr>
          <w:rStyle w:val="FootnoteReference"/>
        </w:rPr>
        <w:footnoteRef/>
      </w:r>
      <w:r>
        <w:t xml:space="preserve"> </w:t>
      </w:r>
      <w:r>
        <w:rPr>
          <w:lang w:val="en-GB"/>
        </w:rPr>
        <w:t xml:space="preserve">I am very grateful to </w:t>
      </w:r>
      <w:r>
        <w:rPr>
          <w:sz w:val="24"/>
          <w:szCs w:val="24"/>
        </w:rPr>
        <w:t xml:space="preserve">François Bourguignon and Stephan </w:t>
      </w:r>
      <w:proofErr w:type="spellStart"/>
      <w:r>
        <w:rPr>
          <w:sz w:val="24"/>
          <w:szCs w:val="24"/>
        </w:rPr>
        <w:t>Klasen</w:t>
      </w:r>
      <w:proofErr w:type="spellEnd"/>
      <w:r>
        <w:rPr>
          <w:sz w:val="24"/>
          <w:szCs w:val="24"/>
        </w:rPr>
        <w:t xml:space="preserve"> for commissioning this paper and inviting me to present it as keynote speaker</w:t>
      </w:r>
      <w:r w:rsidR="009D3B7B">
        <w:rPr>
          <w:sz w:val="24"/>
          <w:szCs w:val="24"/>
        </w:rPr>
        <w:t xml:space="preserve"> at the EUDN annual conference. I thank Edward Griffith-Jones for excellent research assistance.</w:t>
      </w:r>
    </w:p>
  </w:footnote>
  <w:footnote w:id="2">
    <w:p w:rsidR="009555EF" w:rsidRPr="009555EF" w:rsidRDefault="009555EF">
      <w:pPr>
        <w:pStyle w:val="FootnoteText"/>
        <w:rPr>
          <w:rFonts w:asciiTheme="minorHAnsi" w:hAnsiTheme="minorHAnsi"/>
          <w:sz w:val="18"/>
          <w:szCs w:val="18"/>
          <w:lang w:val="en-GB"/>
        </w:rPr>
      </w:pPr>
      <w:r w:rsidRPr="009555EF">
        <w:rPr>
          <w:rStyle w:val="FootnoteReference"/>
          <w:rFonts w:asciiTheme="minorHAnsi" w:hAnsiTheme="minorHAnsi"/>
          <w:sz w:val="18"/>
          <w:szCs w:val="18"/>
        </w:rPr>
        <w:footnoteRef/>
      </w:r>
      <w:r w:rsidRPr="009555EF">
        <w:rPr>
          <w:rFonts w:asciiTheme="minorHAnsi" w:hAnsiTheme="minorHAnsi"/>
          <w:sz w:val="18"/>
          <w:szCs w:val="18"/>
        </w:rPr>
        <w:t xml:space="preserve"> </w:t>
      </w:r>
      <w:r>
        <w:rPr>
          <w:rFonts w:asciiTheme="minorHAnsi" w:hAnsiTheme="minorHAnsi"/>
          <w:sz w:val="18"/>
          <w:szCs w:val="18"/>
        </w:rPr>
        <w:t>T</w:t>
      </w:r>
      <w:r w:rsidRPr="009555EF">
        <w:rPr>
          <w:rFonts w:asciiTheme="minorHAnsi" w:hAnsiTheme="minorHAnsi"/>
          <w:sz w:val="18"/>
          <w:szCs w:val="18"/>
        </w:rPr>
        <w:t>o include some stylized facts, development banks are good at counter-cyclical lending and at providing long-term finance for private investment in infrastructure;</w:t>
      </w:r>
      <w:r w:rsidR="00A83962">
        <w:rPr>
          <w:rFonts w:asciiTheme="minorHAnsi" w:hAnsiTheme="minorHAnsi"/>
          <w:sz w:val="18"/>
          <w:szCs w:val="18"/>
        </w:rPr>
        <w:t xml:space="preserve"> </w:t>
      </w:r>
      <w:r w:rsidRPr="009555EF">
        <w:rPr>
          <w:rFonts w:asciiTheme="minorHAnsi" w:hAnsiTheme="minorHAnsi"/>
          <w:sz w:val="18"/>
          <w:szCs w:val="18"/>
        </w:rPr>
        <w:t xml:space="preserve">private banks are good at providing </w:t>
      </w:r>
      <w:proofErr w:type="gramStart"/>
      <w:r w:rsidRPr="009555EF">
        <w:rPr>
          <w:rFonts w:asciiTheme="minorHAnsi" w:hAnsiTheme="minorHAnsi"/>
          <w:sz w:val="18"/>
          <w:szCs w:val="18"/>
        </w:rPr>
        <w:t>international  trade</w:t>
      </w:r>
      <w:proofErr w:type="gramEnd"/>
      <w:r w:rsidRPr="009555EF">
        <w:rPr>
          <w:rFonts w:asciiTheme="minorHAnsi" w:hAnsiTheme="minorHAnsi"/>
          <w:sz w:val="18"/>
          <w:szCs w:val="18"/>
        </w:rPr>
        <w:t xml:space="preserve"> credit as well as financing the needs of foreign companies; low end institutions are good at giving credit to MSMEs, es</w:t>
      </w:r>
      <w:r>
        <w:rPr>
          <w:rFonts w:asciiTheme="minorHAnsi" w:hAnsiTheme="minorHAnsi"/>
          <w:sz w:val="18"/>
          <w:szCs w:val="18"/>
        </w:rPr>
        <w:t>pecially in specific localities.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519B8"/>
    <w:multiLevelType w:val="hybridMultilevel"/>
    <w:tmpl w:val="FD36C342"/>
    <w:lvl w:ilvl="0" w:tplc="740EDF0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F960F6"/>
    <w:multiLevelType w:val="hybridMultilevel"/>
    <w:tmpl w:val="91BC58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E4"/>
    <w:rsid w:val="0001138B"/>
    <w:rsid w:val="00021DB3"/>
    <w:rsid w:val="0002530B"/>
    <w:rsid w:val="000519EE"/>
    <w:rsid w:val="00073D1F"/>
    <w:rsid w:val="00091FBD"/>
    <w:rsid w:val="000B672F"/>
    <w:rsid w:val="000D7C95"/>
    <w:rsid w:val="000E3957"/>
    <w:rsid w:val="000E4C61"/>
    <w:rsid w:val="000E7F62"/>
    <w:rsid w:val="001121DF"/>
    <w:rsid w:val="00141B6A"/>
    <w:rsid w:val="00143880"/>
    <w:rsid w:val="0015380E"/>
    <w:rsid w:val="00161335"/>
    <w:rsid w:val="00165C86"/>
    <w:rsid w:val="00165C8F"/>
    <w:rsid w:val="001867E3"/>
    <w:rsid w:val="001A0BB1"/>
    <w:rsid w:val="001A0FCC"/>
    <w:rsid w:val="001A2B55"/>
    <w:rsid w:val="001A5F6A"/>
    <w:rsid w:val="001B131A"/>
    <w:rsid w:val="001B4E44"/>
    <w:rsid w:val="001B542E"/>
    <w:rsid w:val="001C33F0"/>
    <w:rsid w:val="001D2142"/>
    <w:rsid w:val="001D3157"/>
    <w:rsid w:val="001D48A5"/>
    <w:rsid w:val="001F2CDB"/>
    <w:rsid w:val="00201400"/>
    <w:rsid w:val="002125C0"/>
    <w:rsid w:val="00214B76"/>
    <w:rsid w:val="00214F30"/>
    <w:rsid w:val="002244F2"/>
    <w:rsid w:val="002247FE"/>
    <w:rsid w:val="00230A69"/>
    <w:rsid w:val="00234CB7"/>
    <w:rsid w:val="00242CC7"/>
    <w:rsid w:val="00243A60"/>
    <w:rsid w:val="00247272"/>
    <w:rsid w:val="00253056"/>
    <w:rsid w:val="00260257"/>
    <w:rsid w:val="0027149D"/>
    <w:rsid w:val="00273BB1"/>
    <w:rsid w:val="00275C8A"/>
    <w:rsid w:val="002832E0"/>
    <w:rsid w:val="002C2EBF"/>
    <w:rsid w:val="002C33E4"/>
    <w:rsid w:val="002D3C5F"/>
    <w:rsid w:val="002E1063"/>
    <w:rsid w:val="002F6702"/>
    <w:rsid w:val="00304980"/>
    <w:rsid w:val="003209C0"/>
    <w:rsid w:val="00321F82"/>
    <w:rsid w:val="00323DDA"/>
    <w:rsid w:val="003265B9"/>
    <w:rsid w:val="0035507C"/>
    <w:rsid w:val="003759E3"/>
    <w:rsid w:val="0038476B"/>
    <w:rsid w:val="00394DFE"/>
    <w:rsid w:val="003A20EF"/>
    <w:rsid w:val="003A409E"/>
    <w:rsid w:val="003A64E4"/>
    <w:rsid w:val="003B6453"/>
    <w:rsid w:val="003C0101"/>
    <w:rsid w:val="003C3810"/>
    <w:rsid w:val="003D0595"/>
    <w:rsid w:val="003D0BFD"/>
    <w:rsid w:val="003F703D"/>
    <w:rsid w:val="00421AE2"/>
    <w:rsid w:val="0042301D"/>
    <w:rsid w:val="00442631"/>
    <w:rsid w:val="00476A9F"/>
    <w:rsid w:val="00490642"/>
    <w:rsid w:val="00491308"/>
    <w:rsid w:val="00491FB8"/>
    <w:rsid w:val="004937FE"/>
    <w:rsid w:val="00496131"/>
    <w:rsid w:val="004A0362"/>
    <w:rsid w:val="004A063D"/>
    <w:rsid w:val="004C2BE4"/>
    <w:rsid w:val="004C7833"/>
    <w:rsid w:val="004E35DE"/>
    <w:rsid w:val="004E61F3"/>
    <w:rsid w:val="004E667C"/>
    <w:rsid w:val="004F1D93"/>
    <w:rsid w:val="004F44A9"/>
    <w:rsid w:val="005348C4"/>
    <w:rsid w:val="005349E4"/>
    <w:rsid w:val="00584CAD"/>
    <w:rsid w:val="005B3F38"/>
    <w:rsid w:val="005C61CF"/>
    <w:rsid w:val="005E0A7C"/>
    <w:rsid w:val="005E70A7"/>
    <w:rsid w:val="006304D3"/>
    <w:rsid w:val="00631E03"/>
    <w:rsid w:val="006465E0"/>
    <w:rsid w:val="00667D23"/>
    <w:rsid w:val="006832AD"/>
    <w:rsid w:val="006A0CB9"/>
    <w:rsid w:val="006B258D"/>
    <w:rsid w:val="006B41F1"/>
    <w:rsid w:val="006C3C01"/>
    <w:rsid w:val="006D7D26"/>
    <w:rsid w:val="006E0CA5"/>
    <w:rsid w:val="006E7748"/>
    <w:rsid w:val="006F621E"/>
    <w:rsid w:val="006F6F22"/>
    <w:rsid w:val="00701569"/>
    <w:rsid w:val="007072E0"/>
    <w:rsid w:val="0072545E"/>
    <w:rsid w:val="00743C0C"/>
    <w:rsid w:val="0075701A"/>
    <w:rsid w:val="00763977"/>
    <w:rsid w:val="0076488F"/>
    <w:rsid w:val="00765A94"/>
    <w:rsid w:val="00767686"/>
    <w:rsid w:val="00771EEB"/>
    <w:rsid w:val="00775209"/>
    <w:rsid w:val="007915A6"/>
    <w:rsid w:val="007929DF"/>
    <w:rsid w:val="0079478A"/>
    <w:rsid w:val="007A12F0"/>
    <w:rsid w:val="007A5D61"/>
    <w:rsid w:val="007A5EF0"/>
    <w:rsid w:val="007B4F39"/>
    <w:rsid w:val="007B6DA7"/>
    <w:rsid w:val="007C3608"/>
    <w:rsid w:val="007D7B13"/>
    <w:rsid w:val="007E5752"/>
    <w:rsid w:val="007E5F37"/>
    <w:rsid w:val="007F62CF"/>
    <w:rsid w:val="00827998"/>
    <w:rsid w:val="008329BE"/>
    <w:rsid w:val="008440A7"/>
    <w:rsid w:val="00850A04"/>
    <w:rsid w:val="0086079E"/>
    <w:rsid w:val="0086760B"/>
    <w:rsid w:val="008722D1"/>
    <w:rsid w:val="00880932"/>
    <w:rsid w:val="0089419C"/>
    <w:rsid w:val="008A34A9"/>
    <w:rsid w:val="008A36BA"/>
    <w:rsid w:val="008D5BFD"/>
    <w:rsid w:val="008E1541"/>
    <w:rsid w:val="00901E03"/>
    <w:rsid w:val="009021A9"/>
    <w:rsid w:val="00917B0A"/>
    <w:rsid w:val="00920DF2"/>
    <w:rsid w:val="0093153F"/>
    <w:rsid w:val="0093523A"/>
    <w:rsid w:val="009376A9"/>
    <w:rsid w:val="00947B92"/>
    <w:rsid w:val="009555EF"/>
    <w:rsid w:val="00962C17"/>
    <w:rsid w:val="009740E5"/>
    <w:rsid w:val="00981145"/>
    <w:rsid w:val="00981FAE"/>
    <w:rsid w:val="00997039"/>
    <w:rsid w:val="009C3770"/>
    <w:rsid w:val="009C7C2E"/>
    <w:rsid w:val="009D3B7B"/>
    <w:rsid w:val="009D5955"/>
    <w:rsid w:val="009E668E"/>
    <w:rsid w:val="009F248E"/>
    <w:rsid w:val="009F2944"/>
    <w:rsid w:val="009F7345"/>
    <w:rsid w:val="009F7F25"/>
    <w:rsid w:val="00A04D17"/>
    <w:rsid w:val="00A112FE"/>
    <w:rsid w:val="00A14F08"/>
    <w:rsid w:val="00A15293"/>
    <w:rsid w:val="00A16735"/>
    <w:rsid w:val="00A23AC3"/>
    <w:rsid w:val="00A32EA4"/>
    <w:rsid w:val="00A414A0"/>
    <w:rsid w:val="00A53739"/>
    <w:rsid w:val="00A70D98"/>
    <w:rsid w:val="00A71701"/>
    <w:rsid w:val="00A81F26"/>
    <w:rsid w:val="00A83962"/>
    <w:rsid w:val="00A87CB1"/>
    <w:rsid w:val="00A916E7"/>
    <w:rsid w:val="00AB0E70"/>
    <w:rsid w:val="00AB232B"/>
    <w:rsid w:val="00AB6F3E"/>
    <w:rsid w:val="00AC0890"/>
    <w:rsid w:val="00AD656D"/>
    <w:rsid w:val="00AD7650"/>
    <w:rsid w:val="00AE7F87"/>
    <w:rsid w:val="00AF5825"/>
    <w:rsid w:val="00B27AAC"/>
    <w:rsid w:val="00B30746"/>
    <w:rsid w:val="00B528BE"/>
    <w:rsid w:val="00B5295C"/>
    <w:rsid w:val="00B869A0"/>
    <w:rsid w:val="00BA19FA"/>
    <w:rsid w:val="00BA381F"/>
    <w:rsid w:val="00BA426D"/>
    <w:rsid w:val="00BA445E"/>
    <w:rsid w:val="00BB1C02"/>
    <w:rsid w:val="00BB21F9"/>
    <w:rsid w:val="00BB56FD"/>
    <w:rsid w:val="00BC14BE"/>
    <w:rsid w:val="00BC6324"/>
    <w:rsid w:val="00BD2477"/>
    <w:rsid w:val="00BD78A7"/>
    <w:rsid w:val="00BE4FD1"/>
    <w:rsid w:val="00BE7574"/>
    <w:rsid w:val="00BF1EED"/>
    <w:rsid w:val="00C44C58"/>
    <w:rsid w:val="00C5023C"/>
    <w:rsid w:val="00C5762E"/>
    <w:rsid w:val="00C6144E"/>
    <w:rsid w:val="00C61976"/>
    <w:rsid w:val="00C71B5E"/>
    <w:rsid w:val="00C75120"/>
    <w:rsid w:val="00C77FE0"/>
    <w:rsid w:val="00CA439F"/>
    <w:rsid w:val="00CA58EC"/>
    <w:rsid w:val="00CB19BD"/>
    <w:rsid w:val="00CB4E58"/>
    <w:rsid w:val="00CC26A7"/>
    <w:rsid w:val="00CC6E56"/>
    <w:rsid w:val="00CE3E83"/>
    <w:rsid w:val="00D1358B"/>
    <w:rsid w:val="00D13C3F"/>
    <w:rsid w:val="00D14BE5"/>
    <w:rsid w:val="00D83B09"/>
    <w:rsid w:val="00D909F3"/>
    <w:rsid w:val="00D92734"/>
    <w:rsid w:val="00DA63A6"/>
    <w:rsid w:val="00DB3359"/>
    <w:rsid w:val="00DF571D"/>
    <w:rsid w:val="00E04391"/>
    <w:rsid w:val="00E071D1"/>
    <w:rsid w:val="00E239F7"/>
    <w:rsid w:val="00E25950"/>
    <w:rsid w:val="00E36936"/>
    <w:rsid w:val="00E409A7"/>
    <w:rsid w:val="00E502B7"/>
    <w:rsid w:val="00E7174C"/>
    <w:rsid w:val="00E747D6"/>
    <w:rsid w:val="00E76173"/>
    <w:rsid w:val="00EB07B6"/>
    <w:rsid w:val="00EB1E3E"/>
    <w:rsid w:val="00EC614E"/>
    <w:rsid w:val="00EE047E"/>
    <w:rsid w:val="00EE1537"/>
    <w:rsid w:val="00EE569A"/>
    <w:rsid w:val="00EF5204"/>
    <w:rsid w:val="00F018F4"/>
    <w:rsid w:val="00F206BF"/>
    <w:rsid w:val="00F26345"/>
    <w:rsid w:val="00F55FBC"/>
    <w:rsid w:val="00F72880"/>
    <w:rsid w:val="00F762F0"/>
    <w:rsid w:val="00F8233B"/>
    <w:rsid w:val="00F85F9A"/>
    <w:rsid w:val="00F9293C"/>
    <w:rsid w:val="00F97203"/>
    <w:rsid w:val="00FA1212"/>
    <w:rsid w:val="00FA312E"/>
    <w:rsid w:val="00FA7BB1"/>
    <w:rsid w:val="00FC3651"/>
    <w:rsid w:val="00FD1E9C"/>
    <w:rsid w:val="00FE04AA"/>
    <w:rsid w:val="00FF3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770"/>
    <w:rPr>
      <w:color w:val="0000FF"/>
      <w:u w:val="single"/>
    </w:rPr>
  </w:style>
  <w:style w:type="character" w:customStyle="1" w:styleId="FootnoteTextChar">
    <w:name w:val="Footnote Text Char"/>
    <w:aliases w:val="Char Char Char,Fußnotentext Char Char Char1,Fußnotentext Char Char Char Char Char,Fußnotentext Char Char Char Char Char Char Char Char,Fußnotentext Char Char Char Char1,fn Char,Footnote Char"/>
    <w:basedOn w:val="DefaultParagraphFont"/>
    <w:link w:val="FootnoteText"/>
    <w:uiPriority w:val="99"/>
    <w:semiHidden/>
    <w:locked/>
    <w:rsid w:val="00275C8A"/>
    <w:rPr>
      <w:rFonts w:ascii="Times New Roman" w:eastAsia="Times New Roman" w:hAnsi="Times New Roman" w:cs="Times New Roman"/>
      <w:lang w:val="en-US"/>
    </w:rPr>
  </w:style>
  <w:style w:type="paragraph" w:styleId="FootnoteText">
    <w:name w:val="footnote text"/>
    <w:aliases w:val="Char Char,Fußnotentext Char Char,Fußnotentext Char Char Char Char,Fußnotentext Char Char Char Char Char Char Char,Fußnotentext Char Char Char,Fußnotentext Char Char Char Char Char Char Char Char Char Char Char Char Char Char,fn,Footnote"/>
    <w:basedOn w:val="Normal"/>
    <w:link w:val="FootnoteTextChar"/>
    <w:uiPriority w:val="99"/>
    <w:semiHidden/>
    <w:unhideWhenUsed/>
    <w:rsid w:val="00275C8A"/>
    <w:pPr>
      <w:spacing w:after="0" w:line="240" w:lineRule="auto"/>
    </w:pPr>
    <w:rPr>
      <w:rFonts w:ascii="Times New Roman" w:eastAsia="Times New Roman" w:hAnsi="Times New Roman" w:cs="Times New Roman"/>
      <w:lang w:val="en-US"/>
    </w:rPr>
  </w:style>
  <w:style w:type="character" w:customStyle="1" w:styleId="FootnoteTextChar1">
    <w:name w:val="Footnote Text Char1"/>
    <w:basedOn w:val="DefaultParagraphFont"/>
    <w:uiPriority w:val="99"/>
    <w:semiHidden/>
    <w:rsid w:val="00275C8A"/>
    <w:rPr>
      <w:sz w:val="20"/>
      <w:szCs w:val="20"/>
    </w:rPr>
  </w:style>
  <w:style w:type="table" w:styleId="TableGrid">
    <w:name w:val="Table Grid"/>
    <w:basedOn w:val="TableNormal"/>
    <w:uiPriority w:val="59"/>
    <w:rsid w:val="008A36BA"/>
    <w:pPr>
      <w:spacing w:after="0" w:line="240" w:lineRule="auto"/>
    </w:pPr>
    <w:rPr>
      <w:rFonts w:ascii="Bangla MN" w:eastAsiaTheme="minorEastAsia" w:hAnsi="Bangla MN" w:cs="Georgia"/>
      <w:sz w:val="30"/>
      <w:szCs w:val="3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5209"/>
    <w:pPr>
      <w:ind w:left="720"/>
      <w:contextualSpacing/>
    </w:pPr>
  </w:style>
  <w:style w:type="paragraph" w:styleId="Header">
    <w:name w:val="header"/>
    <w:basedOn w:val="Normal"/>
    <w:link w:val="HeaderChar"/>
    <w:uiPriority w:val="99"/>
    <w:unhideWhenUsed/>
    <w:rsid w:val="00A14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F08"/>
  </w:style>
  <w:style w:type="paragraph" w:styleId="Footer">
    <w:name w:val="footer"/>
    <w:basedOn w:val="Normal"/>
    <w:link w:val="FooterChar"/>
    <w:uiPriority w:val="99"/>
    <w:unhideWhenUsed/>
    <w:rsid w:val="00A14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F08"/>
  </w:style>
  <w:style w:type="character" w:styleId="FootnoteReference">
    <w:name w:val="footnote reference"/>
    <w:basedOn w:val="DefaultParagraphFont"/>
    <w:uiPriority w:val="99"/>
    <w:semiHidden/>
    <w:unhideWhenUsed/>
    <w:rsid w:val="00CB4E58"/>
    <w:rPr>
      <w:vertAlign w:val="superscript"/>
    </w:rPr>
  </w:style>
  <w:style w:type="paragraph" w:styleId="HTMLPreformatted">
    <w:name w:val="HTML Preformatted"/>
    <w:basedOn w:val="Normal"/>
    <w:link w:val="HTMLPreformattedChar"/>
    <w:semiHidden/>
    <w:unhideWhenUsed/>
    <w:rsid w:val="001B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Arial" w:eastAsia="SimSun" w:hAnsi="Arial" w:cs="Arial"/>
      <w:color w:val="000000"/>
      <w:kern w:val="2"/>
      <w:sz w:val="24"/>
      <w:szCs w:val="24"/>
      <w:lang w:eastAsia="ar-SA"/>
    </w:rPr>
  </w:style>
  <w:style w:type="character" w:customStyle="1" w:styleId="HTMLPreformattedChar">
    <w:name w:val="HTML Preformatted Char"/>
    <w:basedOn w:val="DefaultParagraphFont"/>
    <w:link w:val="HTMLPreformatted"/>
    <w:semiHidden/>
    <w:rsid w:val="001B4E44"/>
    <w:rPr>
      <w:rFonts w:ascii="Arial" w:eastAsia="SimSun" w:hAnsi="Arial" w:cs="Arial"/>
      <w:color w:val="000000"/>
      <w:kern w:val="2"/>
      <w:sz w:val="24"/>
      <w:szCs w:val="24"/>
      <w:lang w:eastAsia="ar-SA"/>
    </w:rPr>
  </w:style>
  <w:style w:type="paragraph" w:customStyle="1" w:styleId="Default">
    <w:name w:val="Default"/>
    <w:rsid w:val="001B4E4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ableContents">
    <w:name w:val="Table Contents"/>
    <w:basedOn w:val="Normal"/>
    <w:rsid w:val="001B4E44"/>
    <w:pPr>
      <w:suppressLineNumbers/>
      <w:suppressAutoHyphens/>
      <w:spacing w:after="0" w:line="100" w:lineRule="atLeast"/>
    </w:pPr>
    <w:rPr>
      <w:rFonts w:ascii="Arial" w:eastAsia="SimSun" w:hAnsi="Arial" w:cs="Arial"/>
      <w:color w:val="000000"/>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770"/>
    <w:rPr>
      <w:color w:val="0000FF"/>
      <w:u w:val="single"/>
    </w:rPr>
  </w:style>
  <w:style w:type="character" w:customStyle="1" w:styleId="FootnoteTextChar">
    <w:name w:val="Footnote Text Char"/>
    <w:aliases w:val="Char Char Char,Fußnotentext Char Char Char1,Fußnotentext Char Char Char Char Char,Fußnotentext Char Char Char Char Char Char Char Char,Fußnotentext Char Char Char Char1,fn Char,Footnote Char"/>
    <w:basedOn w:val="DefaultParagraphFont"/>
    <w:link w:val="FootnoteText"/>
    <w:uiPriority w:val="99"/>
    <w:semiHidden/>
    <w:locked/>
    <w:rsid w:val="00275C8A"/>
    <w:rPr>
      <w:rFonts w:ascii="Times New Roman" w:eastAsia="Times New Roman" w:hAnsi="Times New Roman" w:cs="Times New Roman"/>
      <w:lang w:val="en-US"/>
    </w:rPr>
  </w:style>
  <w:style w:type="paragraph" w:styleId="FootnoteText">
    <w:name w:val="footnote text"/>
    <w:aliases w:val="Char Char,Fußnotentext Char Char,Fußnotentext Char Char Char Char,Fußnotentext Char Char Char Char Char Char Char,Fußnotentext Char Char Char,Fußnotentext Char Char Char Char Char Char Char Char Char Char Char Char Char Char,fn,Footnote"/>
    <w:basedOn w:val="Normal"/>
    <w:link w:val="FootnoteTextChar"/>
    <w:uiPriority w:val="99"/>
    <w:semiHidden/>
    <w:unhideWhenUsed/>
    <w:rsid w:val="00275C8A"/>
    <w:pPr>
      <w:spacing w:after="0" w:line="240" w:lineRule="auto"/>
    </w:pPr>
    <w:rPr>
      <w:rFonts w:ascii="Times New Roman" w:eastAsia="Times New Roman" w:hAnsi="Times New Roman" w:cs="Times New Roman"/>
      <w:lang w:val="en-US"/>
    </w:rPr>
  </w:style>
  <w:style w:type="character" w:customStyle="1" w:styleId="FootnoteTextChar1">
    <w:name w:val="Footnote Text Char1"/>
    <w:basedOn w:val="DefaultParagraphFont"/>
    <w:uiPriority w:val="99"/>
    <w:semiHidden/>
    <w:rsid w:val="00275C8A"/>
    <w:rPr>
      <w:sz w:val="20"/>
      <w:szCs w:val="20"/>
    </w:rPr>
  </w:style>
  <w:style w:type="table" w:styleId="TableGrid">
    <w:name w:val="Table Grid"/>
    <w:basedOn w:val="TableNormal"/>
    <w:uiPriority w:val="59"/>
    <w:rsid w:val="008A36BA"/>
    <w:pPr>
      <w:spacing w:after="0" w:line="240" w:lineRule="auto"/>
    </w:pPr>
    <w:rPr>
      <w:rFonts w:ascii="Bangla MN" w:eastAsiaTheme="minorEastAsia" w:hAnsi="Bangla MN" w:cs="Georgia"/>
      <w:sz w:val="30"/>
      <w:szCs w:val="3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5209"/>
    <w:pPr>
      <w:ind w:left="720"/>
      <w:contextualSpacing/>
    </w:pPr>
  </w:style>
  <w:style w:type="paragraph" w:styleId="Header">
    <w:name w:val="header"/>
    <w:basedOn w:val="Normal"/>
    <w:link w:val="HeaderChar"/>
    <w:uiPriority w:val="99"/>
    <w:unhideWhenUsed/>
    <w:rsid w:val="00A14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F08"/>
  </w:style>
  <w:style w:type="paragraph" w:styleId="Footer">
    <w:name w:val="footer"/>
    <w:basedOn w:val="Normal"/>
    <w:link w:val="FooterChar"/>
    <w:uiPriority w:val="99"/>
    <w:unhideWhenUsed/>
    <w:rsid w:val="00A14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F08"/>
  </w:style>
  <w:style w:type="character" w:styleId="FootnoteReference">
    <w:name w:val="footnote reference"/>
    <w:basedOn w:val="DefaultParagraphFont"/>
    <w:uiPriority w:val="99"/>
    <w:semiHidden/>
    <w:unhideWhenUsed/>
    <w:rsid w:val="00CB4E58"/>
    <w:rPr>
      <w:vertAlign w:val="superscript"/>
    </w:rPr>
  </w:style>
  <w:style w:type="paragraph" w:styleId="HTMLPreformatted">
    <w:name w:val="HTML Preformatted"/>
    <w:basedOn w:val="Normal"/>
    <w:link w:val="HTMLPreformattedChar"/>
    <w:semiHidden/>
    <w:unhideWhenUsed/>
    <w:rsid w:val="001B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Arial" w:eastAsia="SimSun" w:hAnsi="Arial" w:cs="Arial"/>
      <w:color w:val="000000"/>
      <w:kern w:val="2"/>
      <w:sz w:val="24"/>
      <w:szCs w:val="24"/>
      <w:lang w:eastAsia="ar-SA"/>
    </w:rPr>
  </w:style>
  <w:style w:type="character" w:customStyle="1" w:styleId="HTMLPreformattedChar">
    <w:name w:val="HTML Preformatted Char"/>
    <w:basedOn w:val="DefaultParagraphFont"/>
    <w:link w:val="HTMLPreformatted"/>
    <w:semiHidden/>
    <w:rsid w:val="001B4E44"/>
    <w:rPr>
      <w:rFonts w:ascii="Arial" w:eastAsia="SimSun" w:hAnsi="Arial" w:cs="Arial"/>
      <w:color w:val="000000"/>
      <w:kern w:val="2"/>
      <w:sz w:val="24"/>
      <w:szCs w:val="24"/>
      <w:lang w:eastAsia="ar-SA"/>
    </w:rPr>
  </w:style>
  <w:style w:type="paragraph" w:customStyle="1" w:styleId="Default">
    <w:name w:val="Default"/>
    <w:rsid w:val="001B4E4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ableContents">
    <w:name w:val="Table Contents"/>
    <w:basedOn w:val="Normal"/>
    <w:rsid w:val="001B4E44"/>
    <w:pPr>
      <w:suppressLineNumbers/>
      <w:suppressAutoHyphens/>
      <w:spacing w:after="0" w:line="100" w:lineRule="atLeast"/>
    </w:pPr>
    <w:rPr>
      <w:rFonts w:ascii="Arial" w:eastAsia="SimSun" w:hAnsi="Arial" w:cs="Arial"/>
      <w:color w:val="000000"/>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8663">
      <w:bodyDiv w:val="1"/>
      <w:marLeft w:val="0"/>
      <w:marRight w:val="0"/>
      <w:marTop w:val="0"/>
      <w:marBottom w:val="0"/>
      <w:divBdr>
        <w:top w:val="none" w:sz="0" w:space="0" w:color="auto"/>
        <w:left w:val="none" w:sz="0" w:space="0" w:color="auto"/>
        <w:bottom w:val="none" w:sz="0" w:space="0" w:color="auto"/>
        <w:right w:val="none" w:sz="0" w:space="0" w:color="auto"/>
      </w:divBdr>
    </w:div>
    <w:div w:id="127359090">
      <w:bodyDiv w:val="1"/>
      <w:marLeft w:val="0"/>
      <w:marRight w:val="0"/>
      <w:marTop w:val="0"/>
      <w:marBottom w:val="0"/>
      <w:divBdr>
        <w:top w:val="none" w:sz="0" w:space="0" w:color="auto"/>
        <w:left w:val="none" w:sz="0" w:space="0" w:color="auto"/>
        <w:bottom w:val="none" w:sz="0" w:space="0" w:color="auto"/>
        <w:right w:val="none" w:sz="0" w:space="0" w:color="auto"/>
      </w:divBdr>
    </w:div>
    <w:div w:id="232355498">
      <w:bodyDiv w:val="1"/>
      <w:marLeft w:val="0"/>
      <w:marRight w:val="0"/>
      <w:marTop w:val="0"/>
      <w:marBottom w:val="0"/>
      <w:divBdr>
        <w:top w:val="none" w:sz="0" w:space="0" w:color="auto"/>
        <w:left w:val="none" w:sz="0" w:space="0" w:color="auto"/>
        <w:bottom w:val="none" w:sz="0" w:space="0" w:color="auto"/>
        <w:right w:val="none" w:sz="0" w:space="0" w:color="auto"/>
      </w:divBdr>
    </w:div>
    <w:div w:id="308167361">
      <w:bodyDiv w:val="1"/>
      <w:marLeft w:val="0"/>
      <w:marRight w:val="0"/>
      <w:marTop w:val="0"/>
      <w:marBottom w:val="0"/>
      <w:divBdr>
        <w:top w:val="none" w:sz="0" w:space="0" w:color="auto"/>
        <w:left w:val="none" w:sz="0" w:space="0" w:color="auto"/>
        <w:bottom w:val="none" w:sz="0" w:space="0" w:color="auto"/>
        <w:right w:val="none" w:sz="0" w:space="0" w:color="auto"/>
      </w:divBdr>
    </w:div>
    <w:div w:id="367485385">
      <w:bodyDiv w:val="1"/>
      <w:marLeft w:val="0"/>
      <w:marRight w:val="0"/>
      <w:marTop w:val="0"/>
      <w:marBottom w:val="0"/>
      <w:divBdr>
        <w:top w:val="none" w:sz="0" w:space="0" w:color="auto"/>
        <w:left w:val="none" w:sz="0" w:space="0" w:color="auto"/>
        <w:bottom w:val="none" w:sz="0" w:space="0" w:color="auto"/>
        <w:right w:val="none" w:sz="0" w:space="0" w:color="auto"/>
      </w:divBdr>
    </w:div>
    <w:div w:id="418404907">
      <w:bodyDiv w:val="1"/>
      <w:marLeft w:val="0"/>
      <w:marRight w:val="0"/>
      <w:marTop w:val="0"/>
      <w:marBottom w:val="0"/>
      <w:divBdr>
        <w:top w:val="none" w:sz="0" w:space="0" w:color="auto"/>
        <w:left w:val="none" w:sz="0" w:space="0" w:color="auto"/>
        <w:bottom w:val="none" w:sz="0" w:space="0" w:color="auto"/>
        <w:right w:val="none" w:sz="0" w:space="0" w:color="auto"/>
      </w:divBdr>
    </w:div>
    <w:div w:id="695622348">
      <w:bodyDiv w:val="1"/>
      <w:marLeft w:val="0"/>
      <w:marRight w:val="0"/>
      <w:marTop w:val="0"/>
      <w:marBottom w:val="0"/>
      <w:divBdr>
        <w:top w:val="none" w:sz="0" w:space="0" w:color="auto"/>
        <w:left w:val="none" w:sz="0" w:space="0" w:color="auto"/>
        <w:bottom w:val="none" w:sz="0" w:space="0" w:color="auto"/>
        <w:right w:val="none" w:sz="0" w:space="0" w:color="auto"/>
      </w:divBdr>
      <w:divsChild>
        <w:div w:id="2098790538">
          <w:marLeft w:val="0"/>
          <w:marRight w:val="0"/>
          <w:marTop w:val="0"/>
          <w:marBottom w:val="0"/>
          <w:divBdr>
            <w:top w:val="none" w:sz="0" w:space="0" w:color="auto"/>
            <w:left w:val="none" w:sz="0" w:space="0" w:color="auto"/>
            <w:bottom w:val="none" w:sz="0" w:space="0" w:color="auto"/>
            <w:right w:val="none" w:sz="0" w:space="0" w:color="auto"/>
          </w:divBdr>
          <w:divsChild>
            <w:div w:id="236786002">
              <w:marLeft w:val="0"/>
              <w:marRight w:val="0"/>
              <w:marTop w:val="0"/>
              <w:marBottom w:val="0"/>
              <w:divBdr>
                <w:top w:val="none" w:sz="0" w:space="0" w:color="auto"/>
                <w:left w:val="none" w:sz="0" w:space="0" w:color="auto"/>
                <w:bottom w:val="none" w:sz="0" w:space="0" w:color="auto"/>
                <w:right w:val="none" w:sz="0" w:space="0" w:color="auto"/>
              </w:divBdr>
              <w:divsChild>
                <w:div w:id="937370280">
                  <w:marLeft w:val="0"/>
                  <w:marRight w:val="0"/>
                  <w:marTop w:val="0"/>
                  <w:marBottom w:val="0"/>
                  <w:divBdr>
                    <w:top w:val="none" w:sz="0" w:space="0" w:color="auto"/>
                    <w:left w:val="none" w:sz="0" w:space="0" w:color="auto"/>
                    <w:bottom w:val="none" w:sz="0" w:space="0" w:color="auto"/>
                    <w:right w:val="none" w:sz="0" w:space="0" w:color="auto"/>
                  </w:divBdr>
                  <w:divsChild>
                    <w:div w:id="16485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8228">
              <w:marLeft w:val="0"/>
              <w:marRight w:val="0"/>
              <w:marTop w:val="0"/>
              <w:marBottom w:val="0"/>
              <w:divBdr>
                <w:top w:val="none" w:sz="0" w:space="0" w:color="auto"/>
                <w:left w:val="none" w:sz="0" w:space="0" w:color="auto"/>
                <w:bottom w:val="none" w:sz="0" w:space="0" w:color="auto"/>
                <w:right w:val="none" w:sz="0" w:space="0" w:color="auto"/>
              </w:divBdr>
              <w:divsChild>
                <w:div w:id="931157597">
                  <w:marLeft w:val="0"/>
                  <w:marRight w:val="0"/>
                  <w:marTop w:val="0"/>
                  <w:marBottom w:val="0"/>
                  <w:divBdr>
                    <w:top w:val="none" w:sz="0" w:space="0" w:color="auto"/>
                    <w:left w:val="none" w:sz="0" w:space="0" w:color="auto"/>
                    <w:bottom w:val="none" w:sz="0" w:space="0" w:color="auto"/>
                    <w:right w:val="none" w:sz="0" w:space="0" w:color="auto"/>
                  </w:divBdr>
                  <w:divsChild>
                    <w:div w:id="568882906">
                      <w:marLeft w:val="0"/>
                      <w:marRight w:val="0"/>
                      <w:marTop w:val="0"/>
                      <w:marBottom w:val="0"/>
                      <w:divBdr>
                        <w:top w:val="none" w:sz="0" w:space="0" w:color="auto"/>
                        <w:left w:val="none" w:sz="0" w:space="0" w:color="auto"/>
                        <w:bottom w:val="none" w:sz="0" w:space="0" w:color="auto"/>
                        <w:right w:val="none" w:sz="0" w:space="0" w:color="auto"/>
                      </w:divBdr>
                      <w:divsChild>
                        <w:div w:id="1479228625">
                          <w:marLeft w:val="0"/>
                          <w:marRight w:val="0"/>
                          <w:marTop w:val="0"/>
                          <w:marBottom w:val="0"/>
                          <w:divBdr>
                            <w:top w:val="none" w:sz="0" w:space="0" w:color="auto"/>
                            <w:left w:val="none" w:sz="0" w:space="0" w:color="auto"/>
                            <w:bottom w:val="none" w:sz="0" w:space="0" w:color="auto"/>
                            <w:right w:val="none" w:sz="0" w:space="0" w:color="auto"/>
                          </w:divBdr>
                          <w:divsChild>
                            <w:div w:id="776216797">
                              <w:marLeft w:val="0"/>
                              <w:marRight w:val="0"/>
                              <w:marTop w:val="0"/>
                              <w:marBottom w:val="0"/>
                              <w:divBdr>
                                <w:top w:val="none" w:sz="0" w:space="0" w:color="auto"/>
                                <w:left w:val="none" w:sz="0" w:space="0" w:color="auto"/>
                                <w:bottom w:val="none" w:sz="0" w:space="0" w:color="auto"/>
                                <w:right w:val="none" w:sz="0" w:space="0" w:color="auto"/>
                              </w:divBdr>
                              <w:divsChild>
                                <w:div w:id="2078623377">
                                  <w:marLeft w:val="0"/>
                                  <w:marRight w:val="0"/>
                                  <w:marTop w:val="0"/>
                                  <w:marBottom w:val="0"/>
                                  <w:divBdr>
                                    <w:top w:val="none" w:sz="0" w:space="0" w:color="auto"/>
                                    <w:left w:val="none" w:sz="0" w:space="0" w:color="auto"/>
                                    <w:bottom w:val="none" w:sz="0" w:space="0" w:color="auto"/>
                                    <w:right w:val="none" w:sz="0" w:space="0" w:color="auto"/>
                                  </w:divBdr>
                                </w:div>
                                <w:div w:id="1091396387">
                                  <w:marLeft w:val="0"/>
                                  <w:marRight w:val="0"/>
                                  <w:marTop w:val="0"/>
                                  <w:marBottom w:val="0"/>
                                  <w:divBdr>
                                    <w:top w:val="none" w:sz="0" w:space="0" w:color="auto"/>
                                    <w:left w:val="none" w:sz="0" w:space="0" w:color="auto"/>
                                    <w:bottom w:val="none" w:sz="0" w:space="0" w:color="auto"/>
                                    <w:right w:val="none" w:sz="0" w:space="0" w:color="auto"/>
                                  </w:divBdr>
                                </w:div>
                                <w:div w:id="1762869148">
                                  <w:marLeft w:val="0"/>
                                  <w:marRight w:val="0"/>
                                  <w:marTop w:val="0"/>
                                  <w:marBottom w:val="0"/>
                                  <w:divBdr>
                                    <w:top w:val="none" w:sz="0" w:space="0" w:color="auto"/>
                                    <w:left w:val="none" w:sz="0" w:space="0" w:color="auto"/>
                                    <w:bottom w:val="none" w:sz="0" w:space="0" w:color="auto"/>
                                    <w:right w:val="none" w:sz="0" w:space="0" w:color="auto"/>
                                  </w:divBdr>
                                </w:div>
                                <w:div w:id="1592271680">
                                  <w:marLeft w:val="0"/>
                                  <w:marRight w:val="0"/>
                                  <w:marTop w:val="0"/>
                                  <w:marBottom w:val="0"/>
                                  <w:divBdr>
                                    <w:top w:val="none" w:sz="0" w:space="0" w:color="auto"/>
                                    <w:left w:val="none" w:sz="0" w:space="0" w:color="auto"/>
                                    <w:bottom w:val="none" w:sz="0" w:space="0" w:color="auto"/>
                                    <w:right w:val="none" w:sz="0" w:space="0" w:color="auto"/>
                                  </w:divBdr>
                                </w:div>
                                <w:div w:id="1699047181">
                                  <w:marLeft w:val="0"/>
                                  <w:marRight w:val="0"/>
                                  <w:marTop w:val="0"/>
                                  <w:marBottom w:val="0"/>
                                  <w:divBdr>
                                    <w:top w:val="none" w:sz="0" w:space="0" w:color="auto"/>
                                    <w:left w:val="none" w:sz="0" w:space="0" w:color="auto"/>
                                    <w:bottom w:val="none" w:sz="0" w:space="0" w:color="auto"/>
                                    <w:right w:val="none" w:sz="0" w:space="0" w:color="auto"/>
                                  </w:divBdr>
                                </w:div>
                                <w:div w:id="61295235">
                                  <w:marLeft w:val="0"/>
                                  <w:marRight w:val="0"/>
                                  <w:marTop w:val="0"/>
                                  <w:marBottom w:val="0"/>
                                  <w:divBdr>
                                    <w:top w:val="none" w:sz="0" w:space="0" w:color="auto"/>
                                    <w:left w:val="none" w:sz="0" w:space="0" w:color="auto"/>
                                    <w:bottom w:val="none" w:sz="0" w:space="0" w:color="auto"/>
                                    <w:right w:val="none" w:sz="0" w:space="0" w:color="auto"/>
                                  </w:divBdr>
                                </w:div>
                                <w:div w:id="620527070">
                                  <w:marLeft w:val="0"/>
                                  <w:marRight w:val="0"/>
                                  <w:marTop w:val="0"/>
                                  <w:marBottom w:val="0"/>
                                  <w:divBdr>
                                    <w:top w:val="none" w:sz="0" w:space="0" w:color="auto"/>
                                    <w:left w:val="none" w:sz="0" w:space="0" w:color="auto"/>
                                    <w:bottom w:val="none" w:sz="0" w:space="0" w:color="auto"/>
                                    <w:right w:val="none" w:sz="0" w:space="0" w:color="auto"/>
                                  </w:divBdr>
                                </w:div>
                                <w:div w:id="1277181839">
                                  <w:marLeft w:val="0"/>
                                  <w:marRight w:val="0"/>
                                  <w:marTop w:val="0"/>
                                  <w:marBottom w:val="0"/>
                                  <w:divBdr>
                                    <w:top w:val="none" w:sz="0" w:space="0" w:color="auto"/>
                                    <w:left w:val="none" w:sz="0" w:space="0" w:color="auto"/>
                                    <w:bottom w:val="none" w:sz="0" w:space="0" w:color="auto"/>
                                    <w:right w:val="none" w:sz="0" w:space="0" w:color="auto"/>
                                  </w:divBdr>
                                </w:div>
                                <w:div w:id="1764303713">
                                  <w:marLeft w:val="0"/>
                                  <w:marRight w:val="0"/>
                                  <w:marTop w:val="0"/>
                                  <w:marBottom w:val="0"/>
                                  <w:divBdr>
                                    <w:top w:val="none" w:sz="0" w:space="0" w:color="auto"/>
                                    <w:left w:val="none" w:sz="0" w:space="0" w:color="auto"/>
                                    <w:bottom w:val="none" w:sz="0" w:space="0" w:color="auto"/>
                                    <w:right w:val="none" w:sz="0" w:space="0" w:color="auto"/>
                                  </w:divBdr>
                                </w:div>
                                <w:div w:id="1195342506">
                                  <w:marLeft w:val="0"/>
                                  <w:marRight w:val="0"/>
                                  <w:marTop w:val="0"/>
                                  <w:marBottom w:val="0"/>
                                  <w:divBdr>
                                    <w:top w:val="none" w:sz="0" w:space="0" w:color="auto"/>
                                    <w:left w:val="none" w:sz="0" w:space="0" w:color="auto"/>
                                    <w:bottom w:val="none" w:sz="0" w:space="0" w:color="auto"/>
                                    <w:right w:val="none" w:sz="0" w:space="0" w:color="auto"/>
                                  </w:divBdr>
                                </w:div>
                                <w:div w:id="35855022">
                                  <w:marLeft w:val="0"/>
                                  <w:marRight w:val="0"/>
                                  <w:marTop w:val="0"/>
                                  <w:marBottom w:val="0"/>
                                  <w:divBdr>
                                    <w:top w:val="none" w:sz="0" w:space="0" w:color="auto"/>
                                    <w:left w:val="none" w:sz="0" w:space="0" w:color="auto"/>
                                    <w:bottom w:val="none" w:sz="0" w:space="0" w:color="auto"/>
                                    <w:right w:val="none" w:sz="0" w:space="0" w:color="auto"/>
                                  </w:divBdr>
                                </w:div>
                                <w:div w:id="292564532">
                                  <w:marLeft w:val="0"/>
                                  <w:marRight w:val="0"/>
                                  <w:marTop w:val="0"/>
                                  <w:marBottom w:val="0"/>
                                  <w:divBdr>
                                    <w:top w:val="none" w:sz="0" w:space="0" w:color="auto"/>
                                    <w:left w:val="none" w:sz="0" w:space="0" w:color="auto"/>
                                    <w:bottom w:val="none" w:sz="0" w:space="0" w:color="auto"/>
                                    <w:right w:val="none" w:sz="0" w:space="0" w:color="auto"/>
                                  </w:divBdr>
                                </w:div>
                                <w:div w:id="246310619">
                                  <w:marLeft w:val="0"/>
                                  <w:marRight w:val="0"/>
                                  <w:marTop w:val="0"/>
                                  <w:marBottom w:val="0"/>
                                  <w:divBdr>
                                    <w:top w:val="none" w:sz="0" w:space="0" w:color="auto"/>
                                    <w:left w:val="none" w:sz="0" w:space="0" w:color="auto"/>
                                    <w:bottom w:val="none" w:sz="0" w:space="0" w:color="auto"/>
                                    <w:right w:val="none" w:sz="0" w:space="0" w:color="auto"/>
                                  </w:divBdr>
                                </w:div>
                                <w:div w:id="1935087561">
                                  <w:marLeft w:val="0"/>
                                  <w:marRight w:val="0"/>
                                  <w:marTop w:val="0"/>
                                  <w:marBottom w:val="0"/>
                                  <w:divBdr>
                                    <w:top w:val="none" w:sz="0" w:space="0" w:color="auto"/>
                                    <w:left w:val="none" w:sz="0" w:space="0" w:color="auto"/>
                                    <w:bottom w:val="none" w:sz="0" w:space="0" w:color="auto"/>
                                    <w:right w:val="none" w:sz="0" w:space="0" w:color="auto"/>
                                  </w:divBdr>
                                </w:div>
                                <w:div w:id="2631522">
                                  <w:marLeft w:val="0"/>
                                  <w:marRight w:val="0"/>
                                  <w:marTop w:val="0"/>
                                  <w:marBottom w:val="0"/>
                                  <w:divBdr>
                                    <w:top w:val="none" w:sz="0" w:space="0" w:color="auto"/>
                                    <w:left w:val="none" w:sz="0" w:space="0" w:color="auto"/>
                                    <w:bottom w:val="none" w:sz="0" w:space="0" w:color="auto"/>
                                    <w:right w:val="none" w:sz="0" w:space="0" w:color="auto"/>
                                  </w:divBdr>
                                </w:div>
                                <w:div w:id="16332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3498">
                          <w:marLeft w:val="0"/>
                          <w:marRight w:val="0"/>
                          <w:marTop w:val="0"/>
                          <w:marBottom w:val="0"/>
                          <w:divBdr>
                            <w:top w:val="none" w:sz="0" w:space="0" w:color="auto"/>
                            <w:left w:val="none" w:sz="0" w:space="0" w:color="auto"/>
                            <w:bottom w:val="none" w:sz="0" w:space="0" w:color="auto"/>
                            <w:right w:val="none" w:sz="0" w:space="0" w:color="auto"/>
                          </w:divBdr>
                          <w:divsChild>
                            <w:div w:id="1391879879">
                              <w:marLeft w:val="0"/>
                              <w:marRight w:val="0"/>
                              <w:marTop w:val="0"/>
                              <w:marBottom w:val="0"/>
                              <w:divBdr>
                                <w:top w:val="none" w:sz="0" w:space="0" w:color="auto"/>
                                <w:left w:val="none" w:sz="0" w:space="0" w:color="auto"/>
                                <w:bottom w:val="none" w:sz="0" w:space="0" w:color="auto"/>
                                <w:right w:val="none" w:sz="0" w:space="0" w:color="auto"/>
                              </w:divBdr>
                              <w:divsChild>
                                <w:div w:id="897597638">
                                  <w:marLeft w:val="0"/>
                                  <w:marRight w:val="0"/>
                                  <w:marTop w:val="0"/>
                                  <w:marBottom w:val="0"/>
                                  <w:divBdr>
                                    <w:top w:val="none" w:sz="0" w:space="0" w:color="auto"/>
                                    <w:left w:val="none" w:sz="0" w:space="0" w:color="auto"/>
                                    <w:bottom w:val="none" w:sz="0" w:space="0" w:color="auto"/>
                                    <w:right w:val="none" w:sz="0" w:space="0" w:color="auto"/>
                                  </w:divBdr>
                                </w:div>
                                <w:div w:id="2141726114">
                                  <w:marLeft w:val="0"/>
                                  <w:marRight w:val="0"/>
                                  <w:marTop w:val="0"/>
                                  <w:marBottom w:val="0"/>
                                  <w:divBdr>
                                    <w:top w:val="none" w:sz="0" w:space="0" w:color="auto"/>
                                    <w:left w:val="none" w:sz="0" w:space="0" w:color="auto"/>
                                    <w:bottom w:val="none" w:sz="0" w:space="0" w:color="auto"/>
                                    <w:right w:val="none" w:sz="0" w:space="0" w:color="auto"/>
                                  </w:divBdr>
                                </w:div>
                                <w:div w:id="1049652565">
                                  <w:marLeft w:val="0"/>
                                  <w:marRight w:val="0"/>
                                  <w:marTop w:val="0"/>
                                  <w:marBottom w:val="0"/>
                                  <w:divBdr>
                                    <w:top w:val="none" w:sz="0" w:space="0" w:color="auto"/>
                                    <w:left w:val="none" w:sz="0" w:space="0" w:color="auto"/>
                                    <w:bottom w:val="none" w:sz="0" w:space="0" w:color="auto"/>
                                    <w:right w:val="none" w:sz="0" w:space="0" w:color="auto"/>
                                  </w:divBdr>
                                </w:div>
                                <w:div w:id="2121337930">
                                  <w:marLeft w:val="0"/>
                                  <w:marRight w:val="0"/>
                                  <w:marTop w:val="0"/>
                                  <w:marBottom w:val="0"/>
                                  <w:divBdr>
                                    <w:top w:val="none" w:sz="0" w:space="0" w:color="auto"/>
                                    <w:left w:val="none" w:sz="0" w:space="0" w:color="auto"/>
                                    <w:bottom w:val="none" w:sz="0" w:space="0" w:color="auto"/>
                                    <w:right w:val="none" w:sz="0" w:space="0" w:color="auto"/>
                                  </w:divBdr>
                                </w:div>
                                <w:div w:id="2019193059">
                                  <w:marLeft w:val="0"/>
                                  <w:marRight w:val="0"/>
                                  <w:marTop w:val="0"/>
                                  <w:marBottom w:val="0"/>
                                  <w:divBdr>
                                    <w:top w:val="none" w:sz="0" w:space="0" w:color="auto"/>
                                    <w:left w:val="none" w:sz="0" w:space="0" w:color="auto"/>
                                    <w:bottom w:val="none" w:sz="0" w:space="0" w:color="auto"/>
                                    <w:right w:val="none" w:sz="0" w:space="0" w:color="auto"/>
                                  </w:divBdr>
                                </w:div>
                                <w:div w:id="1691952872">
                                  <w:marLeft w:val="0"/>
                                  <w:marRight w:val="0"/>
                                  <w:marTop w:val="0"/>
                                  <w:marBottom w:val="0"/>
                                  <w:divBdr>
                                    <w:top w:val="none" w:sz="0" w:space="0" w:color="auto"/>
                                    <w:left w:val="none" w:sz="0" w:space="0" w:color="auto"/>
                                    <w:bottom w:val="none" w:sz="0" w:space="0" w:color="auto"/>
                                    <w:right w:val="none" w:sz="0" w:space="0" w:color="auto"/>
                                  </w:divBdr>
                                </w:div>
                                <w:div w:id="861633143">
                                  <w:marLeft w:val="0"/>
                                  <w:marRight w:val="0"/>
                                  <w:marTop w:val="0"/>
                                  <w:marBottom w:val="0"/>
                                  <w:divBdr>
                                    <w:top w:val="none" w:sz="0" w:space="0" w:color="auto"/>
                                    <w:left w:val="none" w:sz="0" w:space="0" w:color="auto"/>
                                    <w:bottom w:val="none" w:sz="0" w:space="0" w:color="auto"/>
                                    <w:right w:val="none" w:sz="0" w:space="0" w:color="auto"/>
                                  </w:divBdr>
                                </w:div>
                                <w:div w:id="1338850210">
                                  <w:marLeft w:val="0"/>
                                  <w:marRight w:val="0"/>
                                  <w:marTop w:val="0"/>
                                  <w:marBottom w:val="0"/>
                                  <w:divBdr>
                                    <w:top w:val="none" w:sz="0" w:space="0" w:color="auto"/>
                                    <w:left w:val="none" w:sz="0" w:space="0" w:color="auto"/>
                                    <w:bottom w:val="none" w:sz="0" w:space="0" w:color="auto"/>
                                    <w:right w:val="none" w:sz="0" w:space="0" w:color="auto"/>
                                  </w:divBdr>
                                </w:div>
                                <w:div w:id="1311331191">
                                  <w:marLeft w:val="0"/>
                                  <w:marRight w:val="0"/>
                                  <w:marTop w:val="0"/>
                                  <w:marBottom w:val="0"/>
                                  <w:divBdr>
                                    <w:top w:val="none" w:sz="0" w:space="0" w:color="auto"/>
                                    <w:left w:val="none" w:sz="0" w:space="0" w:color="auto"/>
                                    <w:bottom w:val="none" w:sz="0" w:space="0" w:color="auto"/>
                                    <w:right w:val="none" w:sz="0" w:space="0" w:color="auto"/>
                                  </w:divBdr>
                                </w:div>
                                <w:div w:id="788744996">
                                  <w:marLeft w:val="0"/>
                                  <w:marRight w:val="0"/>
                                  <w:marTop w:val="0"/>
                                  <w:marBottom w:val="0"/>
                                  <w:divBdr>
                                    <w:top w:val="none" w:sz="0" w:space="0" w:color="auto"/>
                                    <w:left w:val="none" w:sz="0" w:space="0" w:color="auto"/>
                                    <w:bottom w:val="none" w:sz="0" w:space="0" w:color="auto"/>
                                    <w:right w:val="none" w:sz="0" w:space="0" w:color="auto"/>
                                  </w:divBdr>
                                </w:div>
                                <w:div w:id="1172799466">
                                  <w:marLeft w:val="0"/>
                                  <w:marRight w:val="0"/>
                                  <w:marTop w:val="0"/>
                                  <w:marBottom w:val="0"/>
                                  <w:divBdr>
                                    <w:top w:val="none" w:sz="0" w:space="0" w:color="auto"/>
                                    <w:left w:val="none" w:sz="0" w:space="0" w:color="auto"/>
                                    <w:bottom w:val="none" w:sz="0" w:space="0" w:color="auto"/>
                                    <w:right w:val="none" w:sz="0" w:space="0" w:color="auto"/>
                                  </w:divBdr>
                                </w:div>
                                <w:div w:id="1927960922">
                                  <w:marLeft w:val="0"/>
                                  <w:marRight w:val="0"/>
                                  <w:marTop w:val="0"/>
                                  <w:marBottom w:val="0"/>
                                  <w:divBdr>
                                    <w:top w:val="none" w:sz="0" w:space="0" w:color="auto"/>
                                    <w:left w:val="none" w:sz="0" w:space="0" w:color="auto"/>
                                    <w:bottom w:val="none" w:sz="0" w:space="0" w:color="auto"/>
                                    <w:right w:val="none" w:sz="0" w:space="0" w:color="auto"/>
                                  </w:divBdr>
                                </w:div>
                                <w:div w:id="1856113161">
                                  <w:marLeft w:val="0"/>
                                  <w:marRight w:val="0"/>
                                  <w:marTop w:val="0"/>
                                  <w:marBottom w:val="0"/>
                                  <w:divBdr>
                                    <w:top w:val="none" w:sz="0" w:space="0" w:color="auto"/>
                                    <w:left w:val="none" w:sz="0" w:space="0" w:color="auto"/>
                                    <w:bottom w:val="none" w:sz="0" w:space="0" w:color="auto"/>
                                    <w:right w:val="none" w:sz="0" w:space="0" w:color="auto"/>
                                  </w:divBdr>
                                </w:div>
                                <w:div w:id="182475531">
                                  <w:marLeft w:val="0"/>
                                  <w:marRight w:val="0"/>
                                  <w:marTop w:val="0"/>
                                  <w:marBottom w:val="0"/>
                                  <w:divBdr>
                                    <w:top w:val="none" w:sz="0" w:space="0" w:color="auto"/>
                                    <w:left w:val="none" w:sz="0" w:space="0" w:color="auto"/>
                                    <w:bottom w:val="none" w:sz="0" w:space="0" w:color="auto"/>
                                    <w:right w:val="none" w:sz="0" w:space="0" w:color="auto"/>
                                  </w:divBdr>
                                </w:div>
                                <w:div w:id="1318147461">
                                  <w:marLeft w:val="0"/>
                                  <w:marRight w:val="0"/>
                                  <w:marTop w:val="0"/>
                                  <w:marBottom w:val="0"/>
                                  <w:divBdr>
                                    <w:top w:val="none" w:sz="0" w:space="0" w:color="auto"/>
                                    <w:left w:val="none" w:sz="0" w:space="0" w:color="auto"/>
                                    <w:bottom w:val="none" w:sz="0" w:space="0" w:color="auto"/>
                                    <w:right w:val="none" w:sz="0" w:space="0" w:color="auto"/>
                                  </w:divBdr>
                                </w:div>
                                <w:div w:id="2032104604">
                                  <w:marLeft w:val="0"/>
                                  <w:marRight w:val="0"/>
                                  <w:marTop w:val="0"/>
                                  <w:marBottom w:val="0"/>
                                  <w:divBdr>
                                    <w:top w:val="none" w:sz="0" w:space="0" w:color="auto"/>
                                    <w:left w:val="none" w:sz="0" w:space="0" w:color="auto"/>
                                    <w:bottom w:val="none" w:sz="0" w:space="0" w:color="auto"/>
                                    <w:right w:val="none" w:sz="0" w:space="0" w:color="auto"/>
                                  </w:divBdr>
                                </w:div>
                                <w:div w:id="487671410">
                                  <w:marLeft w:val="0"/>
                                  <w:marRight w:val="0"/>
                                  <w:marTop w:val="0"/>
                                  <w:marBottom w:val="0"/>
                                  <w:divBdr>
                                    <w:top w:val="none" w:sz="0" w:space="0" w:color="auto"/>
                                    <w:left w:val="none" w:sz="0" w:space="0" w:color="auto"/>
                                    <w:bottom w:val="none" w:sz="0" w:space="0" w:color="auto"/>
                                    <w:right w:val="none" w:sz="0" w:space="0" w:color="auto"/>
                                  </w:divBdr>
                                </w:div>
                                <w:div w:id="697899461">
                                  <w:marLeft w:val="0"/>
                                  <w:marRight w:val="0"/>
                                  <w:marTop w:val="0"/>
                                  <w:marBottom w:val="0"/>
                                  <w:divBdr>
                                    <w:top w:val="none" w:sz="0" w:space="0" w:color="auto"/>
                                    <w:left w:val="none" w:sz="0" w:space="0" w:color="auto"/>
                                    <w:bottom w:val="none" w:sz="0" w:space="0" w:color="auto"/>
                                    <w:right w:val="none" w:sz="0" w:space="0" w:color="auto"/>
                                  </w:divBdr>
                                </w:div>
                                <w:div w:id="684282406">
                                  <w:marLeft w:val="0"/>
                                  <w:marRight w:val="0"/>
                                  <w:marTop w:val="0"/>
                                  <w:marBottom w:val="0"/>
                                  <w:divBdr>
                                    <w:top w:val="none" w:sz="0" w:space="0" w:color="auto"/>
                                    <w:left w:val="none" w:sz="0" w:space="0" w:color="auto"/>
                                    <w:bottom w:val="none" w:sz="0" w:space="0" w:color="auto"/>
                                    <w:right w:val="none" w:sz="0" w:space="0" w:color="auto"/>
                                  </w:divBdr>
                                </w:div>
                                <w:div w:id="164059360">
                                  <w:marLeft w:val="0"/>
                                  <w:marRight w:val="0"/>
                                  <w:marTop w:val="0"/>
                                  <w:marBottom w:val="0"/>
                                  <w:divBdr>
                                    <w:top w:val="none" w:sz="0" w:space="0" w:color="auto"/>
                                    <w:left w:val="none" w:sz="0" w:space="0" w:color="auto"/>
                                    <w:bottom w:val="none" w:sz="0" w:space="0" w:color="auto"/>
                                    <w:right w:val="none" w:sz="0" w:space="0" w:color="auto"/>
                                  </w:divBdr>
                                </w:div>
                                <w:div w:id="699014321">
                                  <w:marLeft w:val="0"/>
                                  <w:marRight w:val="0"/>
                                  <w:marTop w:val="0"/>
                                  <w:marBottom w:val="0"/>
                                  <w:divBdr>
                                    <w:top w:val="none" w:sz="0" w:space="0" w:color="auto"/>
                                    <w:left w:val="none" w:sz="0" w:space="0" w:color="auto"/>
                                    <w:bottom w:val="none" w:sz="0" w:space="0" w:color="auto"/>
                                    <w:right w:val="none" w:sz="0" w:space="0" w:color="auto"/>
                                  </w:divBdr>
                                </w:div>
                                <w:div w:id="1206796097">
                                  <w:marLeft w:val="0"/>
                                  <w:marRight w:val="0"/>
                                  <w:marTop w:val="0"/>
                                  <w:marBottom w:val="0"/>
                                  <w:divBdr>
                                    <w:top w:val="none" w:sz="0" w:space="0" w:color="auto"/>
                                    <w:left w:val="none" w:sz="0" w:space="0" w:color="auto"/>
                                    <w:bottom w:val="none" w:sz="0" w:space="0" w:color="auto"/>
                                    <w:right w:val="none" w:sz="0" w:space="0" w:color="auto"/>
                                  </w:divBdr>
                                </w:div>
                                <w:div w:id="1204560053">
                                  <w:marLeft w:val="0"/>
                                  <w:marRight w:val="0"/>
                                  <w:marTop w:val="0"/>
                                  <w:marBottom w:val="0"/>
                                  <w:divBdr>
                                    <w:top w:val="none" w:sz="0" w:space="0" w:color="auto"/>
                                    <w:left w:val="none" w:sz="0" w:space="0" w:color="auto"/>
                                    <w:bottom w:val="none" w:sz="0" w:space="0" w:color="auto"/>
                                    <w:right w:val="none" w:sz="0" w:space="0" w:color="auto"/>
                                  </w:divBdr>
                                </w:div>
                                <w:div w:id="1344628445">
                                  <w:marLeft w:val="0"/>
                                  <w:marRight w:val="0"/>
                                  <w:marTop w:val="0"/>
                                  <w:marBottom w:val="0"/>
                                  <w:divBdr>
                                    <w:top w:val="none" w:sz="0" w:space="0" w:color="auto"/>
                                    <w:left w:val="none" w:sz="0" w:space="0" w:color="auto"/>
                                    <w:bottom w:val="none" w:sz="0" w:space="0" w:color="auto"/>
                                    <w:right w:val="none" w:sz="0" w:space="0" w:color="auto"/>
                                  </w:divBdr>
                                </w:div>
                                <w:div w:id="1391685520">
                                  <w:marLeft w:val="0"/>
                                  <w:marRight w:val="0"/>
                                  <w:marTop w:val="0"/>
                                  <w:marBottom w:val="0"/>
                                  <w:divBdr>
                                    <w:top w:val="none" w:sz="0" w:space="0" w:color="auto"/>
                                    <w:left w:val="none" w:sz="0" w:space="0" w:color="auto"/>
                                    <w:bottom w:val="none" w:sz="0" w:space="0" w:color="auto"/>
                                    <w:right w:val="none" w:sz="0" w:space="0" w:color="auto"/>
                                  </w:divBdr>
                                </w:div>
                                <w:div w:id="138427943">
                                  <w:marLeft w:val="0"/>
                                  <w:marRight w:val="0"/>
                                  <w:marTop w:val="0"/>
                                  <w:marBottom w:val="0"/>
                                  <w:divBdr>
                                    <w:top w:val="none" w:sz="0" w:space="0" w:color="auto"/>
                                    <w:left w:val="none" w:sz="0" w:space="0" w:color="auto"/>
                                    <w:bottom w:val="none" w:sz="0" w:space="0" w:color="auto"/>
                                    <w:right w:val="none" w:sz="0" w:space="0" w:color="auto"/>
                                  </w:divBdr>
                                </w:div>
                                <w:div w:id="2065791257">
                                  <w:marLeft w:val="0"/>
                                  <w:marRight w:val="0"/>
                                  <w:marTop w:val="0"/>
                                  <w:marBottom w:val="0"/>
                                  <w:divBdr>
                                    <w:top w:val="none" w:sz="0" w:space="0" w:color="auto"/>
                                    <w:left w:val="none" w:sz="0" w:space="0" w:color="auto"/>
                                    <w:bottom w:val="none" w:sz="0" w:space="0" w:color="auto"/>
                                    <w:right w:val="none" w:sz="0" w:space="0" w:color="auto"/>
                                  </w:divBdr>
                                </w:div>
                                <w:div w:id="1796752766">
                                  <w:marLeft w:val="0"/>
                                  <w:marRight w:val="0"/>
                                  <w:marTop w:val="0"/>
                                  <w:marBottom w:val="0"/>
                                  <w:divBdr>
                                    <w:top w:val="none" w:sz="0" w:space="0" w:color="auto"/>
                                    <w:left w:val="none" w:sz="0" w:space="0" w:color="auto"/>
                                    <w:bottom w:val="none" w:sz="0" w:space="0" w:color="auto"/>
                                    <w:right w:val="none" w:sz="0" w:space="0" w:color="auto"/>
                                  </w:divBdr>
                                </w:div>
                                <w:div w:id="332757170">
                                  <w:marLeft w:val="0"/>
                                  <w:marRight w:val="0"/>
                                  <w:marTop w:val="0"/>
                                  <w:marBottom w:val="0"/>
                                  <w:divBdr>
                                    <w:top w:val="none" w:sz="0" w:space="0" w:color="auto"/>
                                    <w:left w:val="none" w:sz="0" w:space="0" w:color="auto"/>
                                    <w:bottom w:val="none" w:sz="0" w:space="0" w:color="auto"/>
                                    <w:right w:val="none" w:sz="0" w:space="0" w:color="auto"/>
                                  </w:divBdr>
                                </w:div>
                                <w:div w:id="1622028724">
                                  <w:marLeft w:val="0"/>
                                  <w:marRight w:val="0"/>
                                  <w:marTop w:val="0"/>
                                  <w:marBottom w:val="0"/>
                                  <w:divBdr>
                                    <w:top w:val="none" w:sz="0" w:space="0" w:color="auto"/>
                                    <w:left w:val="none" w:sz="0" w:space="0" w:color="auto"/>
                                    <w:bottom w:val="none" w:sz="0" w:space="0" w:color="auto"/>
                                    <w:right w:val="none" w:sz="0" w:space="0" w:color="auto"/>
                                  </w:divBdr>
                                </w:div>
                                <w:div w:id="1601141202">
                                  <w:marLeft w:val="0"/>
                                  <w:marRight w:val="0"/>
                                  <w:marTop w:val="0"/>
                                  <w:marBottom w:val="0"/>
                                  <w:divBdr>
                                    <w:top w:val="none" w:sz="0" w:space="0" w:color="auto"/>
                                    <w:left w:val="none" w:sz="0" w:space="0" w:color="auto"/>
                                    <w:bottom w:val="none" w:sz="0" w:space="0" w:color="auto"/>
                                    <w:right w:val="none" w:sz="0" w:space="0" w:color="auto"/>
                                  </w:divBdr>
                                </w:div>
                                <w:div w:id="503473854">
                                  <w:marLeft w:val="0"/>
                                  <w:marRight w:val="0"/>
                                  <w:marTop w:val="0"/>
                                  <w:marBottom w:val="0"/>
                                  <w:divBdr>
                                    <w:top w:val="none" w:sz="0" w:space="0" w:color="auto"/>
                                    <w:left w:val="none" w:sz="0" w:space="0" w:color="auto"/>
                                    <w:bottom w:val="none" w:sz="0" w:space="0" w:color="auto"/>
                                    <w:right w:val="none" w:sz="0" w:space="0" w:color="auto"/>
                                  </w:divBdr>
                                </w:div>
                                <w:div w:id="905382707">
                                  <w:marLeft w:val="0"/>
                                  <w:marRight w:val="0"/>
                                  <w:marTop w:val="0"/>
                                  <w:marBottom w:val="0"/>
                                  <w:divBdr>
                                    <w:top w:val="none" w:sz="0" w:space="0" w:color="auto"/>
                                    <w:left w:val="none" w:sz="0" w:space="0" w:color="auto"/>
                                    <w:bottom w:val="none" w:sz="0" w:space="0" w:color="auto"/>
                                    <w:right w:val="none" w:sz="0" w:space="0" w:color="auto"/>
                                  </w:divBdr>
                                </w:div>
                                <w:div w:id="899512644">
                                  <w:marLeft w:val="0"/>
                                  <w:marRight w:val="0"/>
                                  <w:marTop w:val="0"/>
                                  <w:marBottom w:val="0"/>
                                  <w:divBdr>
                                    <w:top w:val="none" w:sz="0" w:space="0" w:color="auto"/>
                                    <w:left w:val="none" w:sz="0" w:space="0" w:color="auto"/>
                                    <w:bottom w:val="none" w:sz="0" w:space="0" w:color="auto"/>
                                    <w:right w:val="none" w:sz="0" w:space="0" w:color="auto"/>
                                  </w:divBdr>
                                </w:div>
                                <w:div w:id="1343244634">
                                  <w:marLeft w:val="0"/>
                                  <w:marRight w:val="0"/>
                                  <w:marTop w:val="0"/>
                                  <w:marBottom w:val="0"/>
                                  <w:divBdr>
                                    <w:top w:val="none" w:sz="0" w:space="0" w:color="auto"/>
                                    <w:left w:val="none" w:sz="0" w:space="0" w:color="auto"/>
                                    <w:bottom w:val="none" w:sz="0" w:space="0" w:color="auto"/>
                                    <w:right w:val="none" w:sz="0" w:space="0" w:color="auto"/>
                                  </w:divBdr>
                                </w:div>
                                <w:div w:id="656498547">
                                  <w:marLeft w:val="0"/>
                                  <w:marRight w:val="0"/>
                                  <w:marTop w:val="0"/>
                                  <w:marBottom w:val="0"/>
                                  <w:divBdr>
                                    <w:top w:val="none" w:sz="0" w:space="0" w:color="auto"/>
                                    <w:left w:val="none" w:sz="0" w:space="0" w:color="auto"/>
                                    <w:bottom w:val="none" w:sz="0" w:space="0" w:color="auto"/>
                                    <w:right w:val="none" w:sz="0" w:space="0" w:color="auto"/>
                                  </w:divBdr>
                                </w:div>
                                <w:div w:id="1680303902">
                                  <w:marLeft w:val="0"/>
                                  <w:marRight w:val="0"/>
                                  <w:marTop w:val="0"/>
                                  <w:marBottom w:val="0"/>
                                  <w:divBdr>
                                    <w:top w:val="none" w:sz="0" w:space="0" w:color="auto"/>
                                    <w:left w:val="none" w:sz="0" w:space="0" w:color="auto"/>
                                    <w:bottom w:val="none" w:sz="0" w:space="0" w:color="auto"/>
                                    <w:right w:val="none" w:sz="0" w:space="0" w:color="auto"/>
                                  </w:divBdr>
                                </w:div>
                                <w:div w:id="242033110">
                                  <w:marLeft w:val="0"/>
                                  <w:marRight w:val="0"/>
                                  <w:marTop w:val="0"/>
                                  <w:marBottom w:val="0"/>
                                  <w:divBdr>
                                    <w:top w:val="none" w:sz="0" w:space="0" w:color="auto"/>
                                    <w:left w:val="none" w:sz="0" w:space="0" w:color="auto"/>
                                    <w:bottom w:val="none" w:sz="0" w:space="0" w:color="auto"/>
                                    <w:right w:val="none" w:sz="0" w:space="0" w:color="auto"/>
                                  </w:divBdr>
                                </w:div>
                                <w:div w:id="540288818">
                                  <w:marLeft w:val="0"/>
                                  <w:marRight w:val="0"/>
                                  <w:marTop w:val="0"/>
                                  <w:marBottom w:val="0"/>
                                  <w:divBdr>
                                    <w:top w:val="none" w:sz="0" w:space="0" w:color="auto"/>
                                    <w:left w:val="none" w:sz="0" w:space="0" w:color="auto"/>
                                    <w:bottom w:val="none" w:sz="0" w:space="0" w:color="auto"/>
                                    <w:right w:val="none" w:sz="0" w:space="0" w:color="auto"/>
                                  </w:divBdr>
                                </w:div>
                                <w:div w:id="1022320603">
                                  <w:marLeft w:val="0"/>
                                  <w:marRight w:val="0"/>
                                  <w:marTop w:val="0"/>
                                  <w:marBottom w:val="0"/>
                                  <w:divBdr>
                                    <w:top w:val="none" w:sz="0" w:space="0" w:color="auto"/>
                                    <w:left w:val="none" w:sz="0" w:space="0" w:color="auto"/>
                                    <w:bottom w:val="none" w:sz="0" w:space="0" w:color="auto"/>
                                    <w:right w:val="none" w:sz="0" w:space="0" w:color="auto"/>
                                  </w:divBdr>
                                </w:div>
                                <w:div w:id="1997562085">
                                  <w:marLeft w:val="0"/>
                                  <w:marRight w:val="0"/>
                                  <w:marTop w:val="0"/>
                                  <w:marBottom w:val="0"/>
                                  <w:divBdr>
                                    <w:top w:val="none" w:sz="0" w:space="0" w:color="auto"/>
                                    <w:left w:val="none" w:sz="0" w:space="0" w:color="auto"/>
                                    <w:bottom w:val="none" w:sz="0" w:space="0" w:color="auto"/>
                                    <w:right w:val="none" w:sz="0" w:space="0" w:color="auto"/>
                                  </w:divBdr>
                                </w:div>
                                <w:div w:id="1679844604">
                                  <w:marLeft w:val="0"/>
                                  <w:marRight w:val="0"/>
                                  <w:marTop w:val="0"/>
                                  <w:marBottom w:val="0"/>
                                  <w:divBdr>
                                    <w:top w:val="none" w:sz="0" w:space="0" w:color="auto"/>
                                    <w:left w:val="none" w:sz="0" w:space="0" w:color="auto"/>
                                    <w:bottom w:val="none" w:sz="0" w:space="0" w:color="auto"/>
                                    <w:right w:val="none" w:sz="0" w:space="0" w:color="auto"/>
                                  </w:divBdr>
                                </w:div>
                                <w:div w:id="1153907415">
                                  <w:marLeft w:val="0"/>
                                  <w:marRight w:val="0"/>
                                  <w:marTop w:val="0"/>
                                  <w:marBottom w:val="0"/>
                                  <w:divBdr>
                                    <w:top w:val="none" w:sz="0" w:space="0" w:color="auto"/>
                                    <w:left w:val="none" w:sz="0" w:space="0" w:color="auto"/>
                                    <w:bottom w:val="none" w:sz="0" w:space="0" w:color="auto"/>
                                    <w:right w:val="none" w:sz="0" w:space="0" w:color="auto"/>
                                  </w:divBdr>
                                </w:div>
                                <w:div w:id="1654331114">
                                  <w:marLeft w:val="0"/>
                                  <w:marRight w:val="0"/>
                                  <w:marTop w:val="0"/>
                                  <w:marBottom w:val="0"/>
                                  <w:divBdr>
                                    <w:top w:val="none" w:sz="0" w:space="0" w:color="auto"/>
                                    <w:left w:val="none" w:sz="0" w:space="0" w:color="auto"/>
                                    <w:bottom w:val="none" w:sz="0" w:space="0" w:color="auto"/>
                                    <w:right w:val="none" w:sz="0" w:space="0" w:color="auto"/>
                                  </w:divBdr>
                                </w:div>
                                <w:div w:id="646518258">
                                  <w:marLeft w:val="0"/>
                                  <w:marRight w:val="0"/>
                                  <w:marTop w:val="0"/>
                                  <w:marBottom w:val="0"/>
                                  <w:divBdr>
                                    <w:top w:val="none" w:sz="0" w:space="0" w:color="auto"/>
                                    <w:left w:val="none" w:sz="0" w:space="0" w:color="auto"/>
                                    <w:bottom w:val="none" w:sz="0" w:space="0" w:color="auto"/>
                                    <w:right w:val="none" w:sz="0" w:space="0" w:color="auto"/>
                                  </w:divBdr>
                                </w:div>
                                <w:div w:id="1851093320">
                                  <w:marLeft w:val="0"/>
                                  <w:marRight w:val="0"/>
                                  <w:marTop w:val="0"/>
                                  <w:marBottom w:val="0"/>
                                  <w:divBdr>
                                    <w:top w:val="none" w:sz="0" w:space="0" w:color="auto"/>
                                    <w:left w:val="none" w:sz="0" w:space="0" w:color="auto"/>
                                    <w:bottom w:val="none" w:sz="0" w:space="0" w:color="auto"/>
                                    <w:right w:val="none" w:sz="0" w:space="0" w:color="auto"/>
                                  </w:divBdr>
                                </w:div>
                                <w:div w:id="196698113">
                                  <w:marLeft w:val="0"/>
                                  <w:marRight w:val="0"/>
                                  <w:marTop w:val="0"/>
                                  <w:marBottom w:val="0"/>
                                  <w:divBdr>
                                    <w:top w:val="none" w:sz="0" w:space="0" w:color="auto"/>
                                    <w:left w:val="none" w:sz="0" w:space="0" w:color="auto"/>
                                    <w:bottom w:val="none" w:sz="0" w:space="0" w:color="auto"/>
                                    <w:right w:val="none" w:sz="0" w:space="0" w:color="auto"/>
                                  </w:divBdr>
                                </w:div>
                                <w:div w:id="617443984">
                                  <w:marLeft w:val="0"/>
                                  <w:marRight w:val="0"/>
                                  <w:marTop w:val="0"/>
                                  <w:marBottom w:val="0"/>
                                  <w:divBdr>
                                    <w:top w:val="none" w:sz="0" w:space="0" w:color="auto"/>
                                    <w:left w:val="none" w:sz="0" w:space="0" w:color="auto"/>
                                    <w:bottom w:val="none" w:sz="0" w:space="0" w:color="auto"/>
                                    <w:right w:val="none" w:sz="0" w:space="0" w:color="auto"/>
                                  </w:divBdr>
                                </w:div>
                                <w:div w:id="459804051">
                                  <w:marLeft w:val="0"/>
                                  <w:marRight w:val="0"/>
                                  <w:marTop w:val="0"/>
                                  <w:marBottom w:val="0"/>
                                  <w:divBdr>
                                    <w:top w:val="none" w:sz="0" w:space="0" w:color="auto"/>
                                    <w:left w:val="none" w:sz="0" w:space="0" w:color="auto"/>
                                    <w:bottom w:val="none" w:sz="0" w:space="0" w:color="auto"/>
                                    <w:right w:val="none" w:sz="0" w:space="0" w:color="auto"/>
                                  </w:divBdr>
                                </w:div>
                                <w:div w:id="1163662430">
                                  <w:marLeft w:val="0"/>
                                  <w:marRight w:val="0"/>
                                  <w:marTop w:val="0"/>
                                  <w:marBottom w:val="0"/>
                                  <w:divBdr>
                                    <w:top w:val="none" w:sz="0" w:space="0" w:color="auto"/>
                                    <w:left w:val="none" w:sz="0" w:space="0" w:color="auto"/>
                                    <w:bottom w:val="none" w:sz="0" w:space="0" w:color="auto"/>
                                    <w:right w:val="none" w:sz="0" w:space="0" w:color="auto"/>
                                  </w:divBdr>
                                </w:div>
                                <w:div w:id="1533416636">
                                  <w:marLeft w:val="0"/>
                                  <w:marRight w:val="0"/>
                                  <w:marTop w:val="0"/>
                                  <w:marBottom w:val="0"/>
                                  <w:divBdr>
                                    <w:top w:val="none" w:sz="0" w:space="0" w:color="auto"/>
                                    <w:left w:val="none" w:sz="0" w:space="0" w:color="auto"/>
                                    <w:bottom w:val="none" w:sz="0" w:space="0" w:color="auto"/>
                                    <w:right w:val="none" w:sz="0" w:space="0" w:color="auto"/>
                                  </w:divBdr>
                                </w:div>
                                <w:div w:id="141430368">
                                  <w:marLeft w:val="0"/>
                                  <w:marRight w:val="0"/>
                                  <w:marTop w:val="0"/>
                                  <w:marBottom w:val="0"/>
                                  <w:divBdr>
                                    <w:top w:val="none" w:sz="0" w:space="0" w:color="auto"/>
                                    <w:left w:val="none" w:sz="0" w:space="0" w:color="auto"/>
                                    <w:bottom w:val="none" w:sz="0" w:space="0" w:color="auto"/>
                                    <w:right w:val="none" w:sz="0" w:space="0" w:color="auto"/>
                                  </w:divBdr>
                                </w:div>
                                <w:div w:id="86657046">
                                  <w:marLeft w:val="0"/>
                                  <w:marRight w:val="0"/>
                                  <w:marTop w:val="0"/>
                                  <w:marBottom w:val="0"/>
                                  <w:divBdr>
                                    <w:top w:val="none" w:sz="0" w:space="0" w:color="auto"/>
                                    <w:left w:val="none" w:sz="0" w:space="0" w:color="auto"/>
                                    <w:bottom w:val="none" w:sz="0" w:space="0" w:color="auto"/>
                                    <w:right w:val="none" w:sz="0" w:space="0" w:color="auto"/>
                                  </w:divBdr>
                                </w:div>
                                <w:div w:id="586576320">
                                  <w:marLeft w:val="0"/>
                                  <w:marRight w:val="0"/>
                                  <w:marTop w:val="0"/>
                                  <w:marBottom w:val="0"/>
                                  <w:divBdr>
                                    <w:top w:val="none" w:sz="0" w:space="0" w:color="auto"/>
                                    <w:left w:val="none" w:sz="0" w:space="0" w:color="auto"/>
                                    <w:bottom w:val="none" w:sz="0" w:space="0" w:color="auto"/>
                                    <w:right w:val="none" w:sz="0" w:space="0" w:color="auto"/>
                                  </w:divBdr>
                                </w:div>
                                <w:div w:id="1988893360">
                                  <w:marLeft w:val="0"/>
                                  <w:marRight w:val="0"/>
                                  <w:marTop w:val="0"/>
                                  <w:marBottom w:val="0"/>
                                  <w:divBdr>
                                    <w:top w:val="none" w:sz="0" w:space="0" w:color="auto"/>
                                    <w:left w:val="none" w:sz="0" w:space="0" w:color="auto"/>
                                    <w:bottom w:val="none" w:sz="0" w:space="0" w:color="auto"/>
                                    <w:right w:val="none" w:sz="0" w:space="0" w:color="auto"/>
                                  </w:divBdr>
                                </w:div>
                                <w:div w:id="1821847191">
                                  <w:marLeft w:val="0"/>
                                  <w:marRight w:val="0"/>
                                  <w:marTop w:val="0"/>
                                  <w:marBottom w:val="0"/>
                                  <w:divBdr>
                                    <w:top w:val="none" w:sz="0" w:space="0" w:color="auto"/>
                                    <w:left w:val="none" w:sz="0" w:space="0" w:color="auto"/>
                                    <w:bottom w:val="none" w:sz="0" w:space="0" w:color="auto"/>
                                    <w:right w:val="none" w:sz="0" w:space="0" w:color="auto"/>
                                  </w:divBdr>
                                </w:div>
                                <w:div w:id="15597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3875">
                          <w:marLeft w:val="0"/>
                          <w:marRight w:val="0"/>
                          <w:marTop w:val="0"/>
                          <w:marBottom w:val="0"/>
                          <w:divBdr>
                            <w:top w:val="none" w:sz="0" w:space="0" w:color="auto"/>
                            <w:left w:val="none" w:sz="0" w:space="0" w:color="auto"/>
                            <w:bottom w:val="none" w:sz="0" w:space="0" w:color="auto"/>
                            <w:right w:val="none" w:sz="0" w:space="0" w:color="auto"/>
                          </w:divBdr>
                          <w:divsChild>
                            <w:div w:id="621808195">
                              <w:marLeft w:val="0"/>
                              <w:marRight w:val="0"/>
                              <w:marTop w:val="0"/>
                              <w:marBottom w:val="0"/>
                              <w:divBdr>
                                <w:top w:val="none" w:sz="0" w:space="0" w:color="auto"/>
                                <w:left w:val="none" w:sz="0" w:space="0" w:color="auto"/>
                                <w:bottom w:val="none" w:sz="0" w:space="0" w:color="auto"/>
                                <w:right w:val="none" w:sz="0" w:space="0" w:color="auto"/>
                              </w:divBdr>
                              <w:divsChild>
                                <w:div w:id="1206403987">
                                  <w:marLeft w:val="0"/>
                                  <w:marRight w:val="0"/>
                                  <w:marTop w:val="0"/>
                                  <w:marBottom w:val="0"/>
                                  <w:divBdr>
                                    <w:top w:val="none" w:sz="0" w:space="0" w:color="auto"/>
                                    <w:left w:val="none" w:sz="0" w:space="0" w:color="auto"/>
                                    <w:bottom w:val="none" w:sz="0" w:space="0" w:color="auto"/>
                                    <w:right w:val="none" w:sz="0" w:space="0" w:color="auto"/>
                                  </w:divBdr>
                                </w:div>
                                <w:div w:id="17705383">
                                  <w:marLeft w:val="0"/>
                                  <w:marRight w:val="0"/>
                                  <w:marTop w:val="0"/>
                                  <w:marBottom w:val="0"/>
                                  <w:divBdr>
                                    <w:top w:val="none" w:sz="0" w:space="0" w:color="auto"/>
                                    <w:left w:val="none" w:sz="0" w:space="0" w:color="auto"/>
                                    <w:bottom w:val="none" w:sz="0" w:space="0" w:color="auto"/>
                                    <w:right w:val="none" w:sz="0" w:space="0" w:color="auto"/>
                                  </w:divBdr>
                                </w:div>
                                <w:div w:id="175774792">
                                  <w:marLeft w:val="0"/>
                                  <w:marRight w:val="0"/>
                                  <w:marTop w:val="0"/>
                                  <w:marBottom w:val="0"/>
                                  <w:divBdr>
                                    <w:top w:val="none" w:sz="0" w:space="0" w:color="auto"/>
                                    <w:left w:val="none" w:sz="0" w:space="0" w:color="auto"/>
                                    <w:bottom w:val="none" w:sz="0" w:space="0" w:color="auto"/>
                                    <w:right w:val="none" w:sz="0" w:space="0" w:color="auto"/>
                                  </w:divBdr>
                                </w:div>
                                <w:div w:id="2014334059">
                                  <w:marLeft w:val="0"/>
                                  <w:marRight w:val="0"/>
                                  <w:marTop w:val="0"/>
                                  <w:marBottom w:val="0"/>
                                  <w:divBdr>
                                    <w:top w:val="none" w:sz="0" w:space="0" w:color="auto"/>
                                    <w:left w:val="none" w:sz="0" w:space="0" w:color="auto"/>
                                    <w:bottom w:val="none" w:sz="0" w:space="0" w:color="auto"/>
                                    <w:right w:val="none" w:sz="0" w:space="0" w:color="auto"/>
                                  </w:divBdr>
                                </w:div>
                                <w:div w:id="1370180672">
                                  <w:marLeft w:val="0"/>
                                  <w:marRight w:val="0"/>
                                  <w:marTop w:val="0"/>
                                  <w:marBottom w:val="0"/>
                                  <w:divBdr>
                                    <w:top w:val="none" w:sz="0" w:space="0" w:color="auto"/>
                                    <w:left w:val="none" w:sz="0" w:space="0" w:color="auto"/>
                                    <w:bottom w:val="none" w:sz="0" w:space="0" w:color="auto"/>
                                    <w:right w:val="none" w:sz="0" w:space="0" w:color="auto"/>
                                  </w:divBdr>
                                </w:div>
                                <w:div w:id="1663007426">
                                  <w:marLeft w:val="0"/>
                                  <w:marRight w:val="0"/>
                                  <w:marTop w:val="0"/>
                                  <w:marBottom w:val="0"/>
                                  <w:divBdr>
                                    <w:top w:val="none" w:sz="0" w:space="0" w:color="auto"/>
                                    <w:left w:val="none" w:sz="0" w:space="0" w:color="auto"/>
                                    <w:bottom w:val="none" w:sz="0" w:space="0" w:color="auto"/>
                                    <w:right w:val="none" w:sz="0" w:space="0" w:color="auto"/>
                                  </w:divBdr>
                                </w:div>
                                <w:div w:id="328873131">
                                  <w:marLeft w:val="0"/>
                                  <w:marRight w:val="0"/>
                                  <w:marTop w:val="0"/>
                                  <w:marBottom w:val="0"/>
                                  <w:divBdr>
                                    <w:top w:val="none" w:sz="0" w:space="0" w:color="auto"/>
                                    <w:left w:val="none" w:sz="0" w:space="0" w:color="auto"/>
                                    <w:bottom w:val="none" w:sz="0" w:space="0" w:color="auto"/>
                                    <w:right w:val="none" w:sz="0" w:space="0" w:color="auto"/>
                                  </w:divBdr>
                                </w:div>
                                <w:div w:id="261227564">
                                  <w:marLeft w:val="0"/>
                                  <w:marRight w:val="0"/>
                                  <w:marTop w:val="0"/>
                                  <w:marBottom w:val="0"/>
                                  <w:divBdr>
                                    <w:top w:val="none" w:sz="0" w:space="0" w:color="auto"/>
                                    <w:left w:val="none" w:sz="0" w:space="0" w:color="auto"/>
                                    <w:bottom w:val="none" w:sz="0" w:space="0" w:color="auto"/>
                                    <w:right w:val="none" w:sz="0" w:space="0" w:color="auto"/>
                                  </w:divBdr>
                                </w:div>
                                <w:div w:id="439105541">
                                  <w:marLeft w:val="0"/>
                                  <w:marRight w:val="0"/>
                                  <w:marTop w:val="0"/>
                                  <w:marBottom w:val="0"/>
                                  <w:divBdr>
                                    <w:top w:val="none" w:sz="0" w:space="0" w:color="auto"/>
                                    <w:left w:val="none" w:sz="0" w:space="0" w:color="auto"/>
                                    <w:bottom w:val="none" w:sz="0" w:space="0" w:color="auto"/>
                                    <w:right w:val="none" w:sz="0" w:space="0" w:color="auto"/>
                                  </w:divBdr>
                                </w:div>
                                <w:div w:id="587160381">
                                  <w:marLeft w:val="0"/>
                                  <w:marRight w:val="0"/>
                                  <w:marTop w:val="0"/>
                                  <w:marBottom w:val="0"/>
                                  <w:divBdr>
                                    <w:top w:val="none" w:sz="0" w:space="0" w:color="auto"/>
                                    <w:left w:val="none" w:sz="0" w:space="0" w:color="auto"/>
                                    <w:bottom w:val="none" w:sz="0" w:space="0" w:color="auto"/>
                                    <w:right w:val="none" w:sz="0" w:space="0" w:color="auto"/>
                                  </w:divBdr>
                                </w:div>
                                <w:div w:id="1355571664">
                                  <w:marLeft w:val="0"/>
                                  <w:marRight w:val="0"/>
                                  <w:marTop w:val="0"/>
                                  <w:marBottom w:val="0"/>
                                  <w:divBdr>
                                    <w:top w:val="none" w:sz="0" w:space="0" w:color="auto"/>
                                    <w:left w:val="none" w:sz="0" w:space="0" w:color="auto"/>
                                    <w:bottom w:val="none" w:sz="0" w:space="0" w:color="auto"/>
                                    <w:right w:val="none" w:sz="0" w:space="0" w:color="auto"/>
                                  </w:divBdr>
                                </w:div>
                                <w:div w:id="47727162">
                                  <w:marLeft w:val="0"/>
                                  <w:marRight w:val="0"/>
                                  <w:marTop w:val="0"/>
                                  <w:marBottom w:val="0"/>
                                  <w:divBdr>
                                    <w:top w:val="none" w:sz="0" w:space="0" w:color="auto"/>
                                    <w:left w:val="none" w:sz="0" w:space="0" w:color="auto"/>
                                    <w:bottom w:val="none" w:sz="0" w:space="0" w:color="auto"/>
                                    <w:right w:val="none" w:sz="0" w:space="0" w:color="auto"/>
                                  </w:divBdr>
                                </w:div>
                                <w:div w:id="13998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6130">
                          <w:marLeft w:val="0"/>
                          <w:marRight w:val="0"/>
                          <w:marTop w:val="0"/>
                          <w:marBottom w:val="0"/>
                          <w:divBdr>
                            <w:top w:val="none" w:sz="0" w:space="0" w:color="auto"/>
                            <w:left w:val="none" w:sz="0" w:space="0" w:color="auto"/>
                            <w:bottom w:val="none" w:sz="0" w:space="0" w:color="auto"/>
                            <w:right w:val="none" w:sz="0" w:space="0" w:color="auto"/>
                          </w:divBdr>
                          <w:divsChild>
                            <w:div w:id="853610432">
                              <w:marLeft w:val="0"/>
                              <w:marRight w:val="0"/>
                              <w:marTop w:val="0"/>
                              <w:marBottom w:val="0"/>
                              <w:divBdr>
                                <w:top w:val="none" w:sz="0" w:space="0" w:color="auto"/>
                                <w:left w:val="none" w:sz="0" w:space="0" w:color="auto"/>
                                <w:bottom w:val="none" w:sz="0" w:space="0" w:color="auto"/>
                                <w:right w:val="none" w:sz="0" w:space="0" w:color="auto"/>
                              </w:divBdr>
                              <w:divsChild>
                                <w:div w:id="1515612117">
                                  <w:marLeft w:val="0"/>
                                  <w:marRight w:val="0"/>
                                  <w:marTop w:val="0"/>
                                  <w:marBottom w:val="0"/>
                                  <w:divBdr>
                                    <w:top w:val="none" w:sz="0" w:space="0" w:color="auto"/>
                                    <w:left w:val="none" w:sz="0" w:space="0" w:color="auto"/>
                                    <w:bottom w:val="none" w:sz="0" w:space="0" w:color="auto"/>
                                    <w:right w:val="none" w:sz="0" w:space="0" w:color="auto"/>
                                  </w:divBdr>
                                </w:div>
                                <w:div w:id="1959098825">
                                  <w:marLeft w:val="0"/>
                                  <w:marRight w:val="0"/>
                                  <w:marTop w:val="0"/>
                                  <w:marBottom w:val="0"/>
                                  <w:divBdr>
                                    <w:top w:val="none" w:sz="0" w:space="0" w:color="auto"/>
                                    <w:left w:val="none" w:sz="0" w:space="0" w:color="auto"/>
                                    <w:bottom w:val="none" w:sz="0" w:space="0" w:color="auto"/>
                                    <w:right w:val="none" w:sz="0" w:space="0" w:color="auto"/>
                                  </w:divBdr>
                                </w:div>
                                <w:div w:id="1268998493">
                                  <w:marLeft w:val="0"/>
                                  <w:marRight w:val="0"/>
                                  <w:marTop w:val="0"/>
                                  <w:marBottom w:val="0"/>
                                  <w:divBdr>
                                    <w:top w:val="none" w:sz="0" w:space="0" w:color="auto"/>
                                    <w:left w:val="none" w:sz="0" w:space="0" w:color="auto"/>
                                    <w:bottom w:val="none" w:sz="0" w:space="0" w:color="auto"/>
                                    <w:right w:val="none" w:sz="0" w:space="0" w:color="auto"/>
                                  </w:divBdr>
                                </w:div>
                                <w:div w:id="1356541879">
                                  <w:marLeft w:val="0"/>
                                  <w:marRight w:val="0"/>
                                  <w:marTop w:val="0"/>
                                  <w:marBottom w:val="0"/>
                                  <w:divBdr>
                                    <w:top w:val="none" w:sz="0" w:space="0" w:color="auto"/>
                                    <w:left w:val="none" w:sz="0" w:space="0" w:color="auto"/>
                                    <w:bottom w:val="none" w:sz="0" w:space="0" w:color="auto"/>
                                    <w:right w:val="none" w:sz="0" w:space="0" w:color="auto"/>
                                  </w:divBdr>
                                </w:div>
                                <w:div w:id="519391736">
                                  <w:marLeft w:val="0"/>
                                  <w:marRight w:val="0"/>
                                  <w:marTop w:val="0"/>
                                  <w:marBottom w:val="0"/>
                                  <w:divBdr>
                                    <w:top w:val="none" w:sz="0" w:space="0" w:color="auto"/>
                                    <w:left w:val="none" w:sz="0" w:space="0" w:color="auto"/>
                                    <w:bottom w:val="none" w:sz="0" w:space="0" w:color="auto"/>
                                    <w:right w:val="none" w:sz="0" w:space="0" w:color="auto"/>
                                  </w:divBdr>
                                </w:div>
                                <w:div w:id="1327051405">
                                  <w:marLeft w:val="0"/>
                                  <w:marRight w:val="0"/>
                                  <w:marTop w:val="0"/>
                                  <w:marBottom w:val="0"/>
                                  <w:divBdr>
                                    <w:top w:val="none" w:sz="0" w:space="0" w:color="auto"/>
                                    <w:left w:val="none" w:sz="0" w:space="0" w:color="auto"/>
                                    <w:bottom w:val="none" w:sz="0" w:space="0" w:color="auto"/>
                                    <w:right w:val="none" w:sz="0" w:space="0" w:color="auto"/>
                                  </w:divBdr>
                                </w:div>
                                <w:div w:id="1710910413">
                                  <w:marLeft w:val="0"/>
                                  <w:marRight w:val="0"/>
                                  <w:marTop w:val="0"/>
                                  <w:marBottom w:val="0"/>
                                  <w:divBdr>
                                    <w:top w:val="none" w:sz="0" w:space="0" w:color="auto"/>
                                    <w:left w:val="none" w:sz="0" w:space="0" w:color="auto"/>
                                    <w:bottom w:val="none" w:sz="0" w:space="0" w:color="auto"/>
                                    <w:right w:val="none" w:sz="0" w:space="0" w:color="auto"/>
                                  </w:divBdr>
                                </w:div>
                                <w:div w:id="1054886043">
                                  <w:marLeft w:val="0"/>
                                  <w:marRight w:val="0"/>
                                  <w:marTop w:val="0"/>
                                  <w:marBottom w:val="0"/>
                                  <w:divBdr>
                                    <w:top w:val="none" w:sz="0" w:space="0" w:color="auto"/>
                                    <w:left w:val="none" w:sz="0" w:space="0" w:color="auto"/>
                                    <w:bottom w:val="none" w:sz="0" w:space="0" w:color="auto"/>
                                    <w:right w:val="none" w:sz="0" w:space="0" w:color="auto"/>
                                  </w:divBdr>
                                </w:div>
                                <w:div w:id="47609526">
                                  <w:marLeft w:val="0"/>
                                  <w:marRight w:val="0"/>
                                  <w:marTop w:val="0"/>
                                  <w:marBottom w:val="0"/>
                                  <w:divBdr>
                                    <w:top w:val="none" w:sz="0" w:space="0" w:color="auto"/>
                                    <w:left w:val="none" w:sz="0" w:space="0" w:color="auto"/>
                                    <w:bottom w:val="none" w:sz="0" w:space="0" w:color="auto"/>
                                    <w:right w:val="none" w:sz="0" w:space="0" w:color="auto"/>
                                  </w:divBdr>
                                </w:div>
                                <w:div w:id="1655797785">
                                  <w:marLeft w:val="0"/>
                                  <w:marRight w:val="0"/>
                                  <w:marTop w:val="0"/>
                                  <w:marBottom w:val="0"/>
                                  <w:divBdr>
                                    <w:top w:val="none" w:sz="0" w:space="0" w:color="auto"/>
                                    <w:left w:val="none" w:sz="0" w:space="0" w:color="auto"/>
                                    <w:bottom w:val="none" w:sz="0" w:space="0" w:color="auto"/>
                                    <w:right w:val="none" w:sz="0" w:space="0" w:color="auto"/>
                                  </w:divBdr>
                                </w:div>
                                <w:div w:id="20282310">
                                  <w:marLeft w:val="0"/>
                                  <w:marRight w:val="0"/>
                                  <w:marTop w:val="0"/>
                                  <w:marBottom w:val="0"/>
                                  <w:divBdr>
                                    <w:top w:val="none" w:sz="0" w:space="0" w:color="auto"/>
                                    <w:left w:val="none" w:sz="0" w:space="0" w:color="auto"/>
                                    <w:bottom w:val="none" w:sz="0" w:space="0" w:color="auto"/>
                                    <w:right w:val="none" w:sz="0" w:space="0" w:color="auto"/>
                                  </w:divBdr>
                                </w:div>
                                <w:div w:id="19168747">
                                  <w:marLeft w:val="0"/>
                                  <w:marRight w:val="0"/>
                                  <w:marTop w:val="0"/>
                                  <w:marBottom w:val="0"/>
                                  <w:divBdr>
                                    <w:top w:val="none" w:sz="0" w:space="0" w:color="auto"/>
                                    <w:left w:val="none" w:sz="0" w:space="0" w:color="auto"/>
                                    <w:bottom w:val="none" w:sz="0" w:space="0" w:color="auto"/>
                                    <w:right w:val="none" w:sz="0" w:space="0" w:color="auto"/>
                                  </w:divBdr>
                                </w:div>
                                <w:div w:id="1569069142">
                                  <w:marLeft w:val="0"/>
                                  <w:marRight w:val="0"/>
                                  <w:marTop w:val="0"/>
                                  <w:marBottom w:val="0"/>
                                  <w:divBdr>
                                    <w:top w:val="none" w:sz="0" w:space="0" w:color="auto"/>
                                    <w:left w:val="none" w:sz="0" w:space="0" w:color="auto"/>
                                    <w:bottom w:val="none" w:sz="0" w:space="0" w:color="auto"/>
                                    <w:right w:val="none" w:sz="0" w:space="0" w:color="auto"/>
                                  </w:divBdr>
                                </w:div>
                                <w:div w:id="699739952">
                                  <w:marLeft w:val="0"/>
                                  <w:marRight w:val="0"/>
                                  <w:marTop w:val="0"/>
                                  <w:marBottom w:val="0"/>
                                  <w:divBdr>
                                    <w:top w:val="none" w:sz="0" w:space="0" w:color="auto"/>
                                    <w:left w:val="none" w:sz="0" w:space="0" w:color="auto"/>
                                    <w:bottom w:val="none" w:sz="0" w:space="0" w:color="auto"/>
                                    <w:right w:val="none" w:sz="0" w:space="0" w:color="auto"/>
                                  </w:divBdr>
                                </w:div>
                                <w:div w:id="1571505753">
                                  <w:marLeft w:val="0"/>
                                  <w:marRight w:val="0"/>
                                  <w:marTop w:val="0"/>
                                  <w:marBottom w:val="0"/>
                                  <w:divBdr>
                                    <w:top w:val="none" w:sz="0" w:space="0" w:color="auto"/>
                                    <w:left w:val="none" w:sz="0" w:space="0" w:color="auto"/>
                                    <w:bottom w:val="none" w:sz="0" w:space="0" w:color="auto"/>
                                    <w:right w:val="none" w:sz="0" w:space="0" w:color="auto"/>
                                  </w:divBdr>
                                </w:div>
                                <w:div w:id="1326321129">
                                  <w:marLeft w:val="0"/>
                                  <w:marRight w:val="0"/>
                                  <w:marTop w:val="0"/>
                                  <w:marBottom w:val="0"/>
                                  <w:divBdr>
                                    <w:top w:val="none" w:sz="0" w:space="0" w:color="auto"/>
                                    <w:left w:val="none" w:sz="0" w:space="0" w:color="auto"/>
                                    <w:bottom w:val="none" w:sz="0" w:space="0" w:color="auto"/>
                                    <w:right w:val="none" w:sz="0" w:space="0" w:color="auto"/>
                                  </w:divBdr>
                                </w:div>
                                <w:div w:id="9899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358247">
      <w:bodyDiv w:val="1"/>
      <w:marLeft w:val="0"/>
      <w:marRight w:val="0"/>
      <w:marTop w:val="0"/>
      <w:marBottom w:val="0"/>
      <w:divBdr>
        <w:top w:val="none" w:sz="0" w:space="0" w:color="auto"/>
        <w:left w:val="none" w:sz="0" w:space="0" w:color="auto"/>
        <w:bottom w:val="none" w:sz="0" w:space="0" w:color="auto"/>
        <w:right w:val="none" w:sz="0" w:space="0" w:color="auto"/>
      </w:divBdr>
    </w:div>
    <w:div w:id="916943001">
      <w:bodyDiv w:val="1"/>
      <w:marLeft w:val="0"/>
      <w:marRight w:val="0"/>
      <w:marTop w:val="0"/>
      <w:marBottom w:val="0"/>
      <w:divBdr>
        <w:top w:val="none" w:sz="0" w:space="0" w:color="auto"/>
        <w:left w:val="none" w:sz="0" w:space="0" w:color="auto"/>
        <w:bottom w:val="none" w:sz="0" w:space="0" w:color="auto"/>
        <w:right w:val="none" w:sz="0" w:space="0" w:color="auto"/>
      </w:divBdr>
    </w:div>
    <w:div w:id="985671487">
      <w:bodyDiv w:val="1"/>
      <w:marLeft w:val="0"/>
      <w:marRight w:val="0"/>
      <w:marTop w:val="0"/>
      <w:marBottom w:val="0"/>
      <w:divBdr>
        <w:top w:val="none" w:sz="0" w:space="0" w:color="auto"/>
        <w:left w:val="none" w:sz="0" w:space="0" w:color="auto"/>
        <w:bottom w:val="none" w:sz="0" w:space="0" w:color="auto"/>
        <w:right w:val="none" w:sz="0" w:space="0" w:color="auto"/>
      </w:divBdr>
    </w:div>
    <w:div w:id="1775516452">
      <w:bodyDiv w:val="1"/>
      <w:marLeft w:val="0"/>
      <w:marRight w:val="0"/>
      <w:marTop w:val="0"/>
      <w:marBottom w:val="0"/>
      <w:divBdr>
        <w:top w:val="none" w:sz="0" w:space="0" w:color="auto"/>
        <w:left w:val="none" w:sz="0" w:space="0" w:color="auto"/>
        <w:bottom w:val="none" w:sz="0" w:space="0" w:color="auto"/>
        <w:right w:val="none" w:sz="0" w:space="0" w:color="auto"/>
      </w:divBdr>
    </w:div>
    <w:div w:id="1876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file:///C:\Users\Owner\Desktop\SGJ_for_journal_of_Glob_and_Dev.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mf.org/external/pubs/ft/sdn/2011/sdn1106.pdf" TargetMode="External"/><Relationship Id="rId7" Type="http://schemas.openxmlformats.org/officeDocument/2006/relationships/footnotes" Target="footnotes.xml"/><Relationship Id="rId12" Type="http://schemas.openxmlformats.org/officeDocument/2006/relationships/hyperlink" Target="file:///C:\Users\Owner\Desktop\SGJ_for_journal_of_Glob_and_Dev.docx" TargetMode="External"/><Relationship Id="rId17" Type="http://schemas.openxmlformats.org/officeDocument/2006/relationships/hyperlink" Target="file:///C:\Users\Owner\Desktop\SGJ_for_journal_of_Glob_and_Dev.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epw.in/commentary/imfs-new-view-capital-control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wner\Desktop\SGJ_for_journal_of_Glob_and_Dev.docx" TargetMode="External"/><Relationship Id="rId24" Type="http://schemas.openxmlformats.org/officeDocument/2006/relationships/hyperlink" Target="http://www.voxeu.org/article/public-capital-flows-replacing-private-flows-eurozone-what-it-means-policy"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stephanygj.net/papers/RegulatingGlobalCapitalFlowsForLongRunDevelopment2012.pdf" TargetMode="External"/><Relationship Id="rId10" Type="http://schemas.openxmlformats.org/officeDocument/2006/relationships/hyperlink" Target="http://www.policydialogue.org" TargetMode="External"/><Relationship Id="rId19" Type="http://schemas.openxmlformats.org/officeDocument/2006/relationships/hyperlink" Target="http://www.bancomoc.mz/Default_en.aspx" TargetMode="External"/><Relationship Id="rId4" Type="http://schemas.microsoft.com/office/2007/relationships/stylesWithEffects" Target="stylesWithEffects.xml"/><Relationship Id="rId9" Type="http://schemas.openxmlformats.org/officeDocument/2006/relationships/hyperlink" Target="http://www.stephanygj.net" TargetMode="External"/><Relationship Id="rId14" Type="http://schemas.openxmlformats.org/officeDocument/2006/relationships/image" Target="media/image2.emf"/><Relationship Id="rId22" Type="http://schemas.openxmlformats.org/officeDocument/2006/relationships/hyperlink" Target="https://www.imf.org/external/np/pp/eng/2012/031312.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9D872-12BA-4215-A6E4-6E0416FA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25</Pages>
  <Words>10290</Words>
  <Characters>58657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147</cp:revision>
  <dcterms:created xsi:type="dcterms:W3CDTF">2013-11-18T13:24:00Z</dcterms:created>
  <dcterms:modified xsi:type="dcterms:W3CDTF">2013-12-02T08:57:00Z</dcterms:modified>
</cp:coreProperties>
</file>