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CD7" w:rsidRPr="00203EE8" w:rsidRDefault="00735CD7" w:rsidP="00735CD7">
      <w:pPr>
        <w:tabs>
          <w:tab w:val="left" w:pos="2145"/>
        </w:tabs>
        <w:spacing w:after="0"/>
        <w:outlineLvl w:val="0"/>
        <w:rPr>
          <w:rFonts w:ascii="Times New Roman" w:hAnsi="Times New Roman"/>
          <w:sz w:val="36"/>
          <w:szCs w:val="36"/>
        </w:rPr>
      </w:pPr>
      <w:r w:rsidRPr="00203EE8">
        <w:rPr>
          <w:rFonts w:ascii="Times New Roman" w:hAnsi="Times New Roman"/>
          <w:sz w:val="36"/>
          <w:szCs w:val="36"/>
        </w:rPr>
        <w:t>Commonwealth Secretariat</w:t>
      </w:r>
    </w:p>
    <w:p w:rsidR="00735CD7" w:rsidRPr="00AC217F" w:rsidRDefault="00735CD7" w:rsidP="00735CD7">
      <w:pPr>
        <w:tabs>
          <w:tab w:val="left" w:pos="2145"/>
        </w:tabs>
        <w:spacing w:after="0"/>
        <w:rPr>
          <w:sz w:val="30"/>
          <w:szCs w:val="30"/>
        </w:rPr>
      </w:pPr>
      <w:r>
        <w:rPr>
          <w:noProof/>
        </w:rPr>
        <mc:AlternateContent>
          <mc:Choice Requires="wpc">
            <w:drawing>
              <wp:anchor distT="0" distB="0" distL="114300" distR="114300" simplePos="0" relativeHeight="251679744" behindDoc="0" locked="0" layoutInCell="1" allowOverlap="1" wp14:anchorId="3E7CC51E" wp14:editId="53A2E5B1">
                <wp:simplePos x="0" y="0"/>
                <wp:positionH relativeFrom="column">
                  <wp:posOffset>6350</wp:posOffset>
                </wp:positionH>
                <wp:positionV relativeFrom="paragraph">
                  <wp:posOffset>0</wp:posOffset>
                </wp:positionV>
                <wp:extent cx="5715000" cy="228600"/>
                <wp:effectExtent l="0" t="0" r="19050" b="0"/>
                <wp:wrapNone/>
                <wp:docPr id="13"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Line 14"/>
                        <wps:cNvCnPr/>
                        <wps:spPr bwMode="auto">
                          <a:xfrm>
                            <a:off x="0" y="114300"/>
                            <a:ext cx="5715000" cy="79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3" o:spid="_x0000_s1026" editas="canvas" style="position:absolute;margin-left:.5pt;margin-top:0;width:450pt;height:18pt;z-index:251679744" coordsize="5715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WbJwIAAIsEAAAOAAAAZHJzL2Uyb0RvYy54bWysVMGO2jAQvVfqP1i5QxI2LBARVhWBXrbt&#10;Sm0/YLAdYsmxLdsQUNV/79gEtrSXqm0Oznhm8vxm5jnLp1MnyZFbJ7SqknycJYQrqplQ+yr5+mU7&#10;mifEeVAMpFa8Ss7cJU+rt2+WvSn5RLdaMm4JgihX9qZKWu9NmaaOtrwDN9aGKww22nbgcWv3KbPQ&#10;I3on00mWPaa9tsxYTblz6K0vwWQV8ZuGU/+paRz3RFYJcvNxtXHdhTVdLaHcWzCtoAMN+AsWHQiF&#10;h96gavBADlb8BtUJarXTjR9T3aW6aQTlsQasJs9+qWYN6gguFkOxO1eCaP1H3N0+8FZ6K6TEbqSI&#10;XgZfePc4H47O3uB0nLnNyf3b+Z9bMDyW5Ur68fhiiWAonklCFHQokmehOMmLMJxwMqas1Ysdds5g&#10;/q7/oBlmwsHr2PdTY7tQB3aUnOJ4z4iYFw/ZMGN+8oRiZDrLpxk6CcWE2SIekkJ5/d5Y599z3ZFg&#10;VIlEJhEfjs/Oh/ZAeU25axuUUpE+FDFD8BByWgoWmho3dr9bS0uOEHQYn1Adot2lWX1QDP1QthzY&#10;ZrA9CHmxMV+qEMZqkM9gXYT2bZEtNvPNvBgVk8fNqMjqevRuuy5Gj9t8Nq0f6vW6zr8HanlRtoIx&#10;rgK7q+jz4s9mOly/i1xvsn+Vzz16LBHJXt+RNErMlWGMl/HuNDvH6UY/ygyTo/gMjZ8NtzNcqZ/3&#10;Mev1H7L6AQAA//8DAFBLAwQUAAYACAAAACEAn1I5M9sAAAAFAQAADwAAAGRycy9kb3ducmV2Lnht&#10;bEyPwUrDQBCG74LvsIzgze5aS6xpNkUERfSg1kCv2+w0Ce7Ohuy2iT6905NeBj7+4Z9vivXknTji&#10;ELtAGq5nCgRSHWxHjYbq8/FqCSImQ9a4QKjhGyOsy/OzwuQ2jPSBx01qBJdQzI2GNqU+lzLWLXoT&#10;Z6FH4mwfBm8S49BIO5iRy72Tc6Uy6U1HfKE1PT60WH9tDl7DYr53y/en7PXnuarGl+2iu1VvndaX&#10;F9P9CkTCKf0tw0mf1aFkp104kI3CMfMnSQNPDu/UCXcabjIFsizkf/vyFwAA//8DAFBLAQItABQA&#10;BgAIAAAAIQC2gziS/gAAAOEBAAATAAAAAAAAAAAAAAAAAAAAAABbQ29udGVudF9UeXBlc10ueG1s&#10;UEsBAi0AFAAGAAgAAAAhADj9If/WAAAAlAEAAAsAAAAAAAAAAAAAAAAALwEAAF9yZWxzLy5yZWxz&#10;UEsBAi0AFAAGAAgAAAAhABlhJZsnAgAAiwQAAA4AAAAAAAAAAAAAAAAALgIAAGRycy9lMm9Eb2Mu&#10;eG1sUEsBAi0AFAAGAAgAAAAhAJ9SOTPbAAAABQEAAA8AAAAAAAAAAAAAAAAAgQQAAGRycy9kb3du&#10;cmV2LnhtbFBLBQYAAAAABAAEAPMAAACJ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286;visibility:visible;mso-wrap-style:square">
                  <v:fill o:detectmouseclick="t"/>
                  <v:path o:connecttype="none"/>
                </v:shape>
                <v:line id="Line 14" o:spid="_x0000_s1028" style="position:absolute;visibility:visible;mso-wrap-style:square" from="0,1143" to="57150,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DdpMIAAADbAAAADwAAAGRycy9kb3ducmV2LnhtbERPS27CMBDdI/UO1lRiRxxYIEhxItSP&#10;VMSigvYAQzyNA/E4sl0InL6uVIndPL3vrKrBduJMPrSOFUyzHARx7XTLjYKvz7fJAkSIyBo7x6Tg&#10;SgGq8mG0wkK7C+/ovI+NSCEcClRgYuwLKUNtyGLIXE+cuG/nLcYEfSO1x0sKt52c5flcWmw5NRjs&#10;6dlQfdr/WAUbf9ieprfGyANv/Gv38bIM9qjU+HFYP4GINMS7+N/9rtP8Gfz9kg6Q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DdpMIAAADbAAAADwAAAAAAAAAAAAAA&#10;AAChAgAAZHJzL2Rvd25yZXYueG1sUEsFBgAAAAAEAAQA+QAAAJADAAAAAA==&#10;" strokeweight="1pt"/>
              </v:group>
            </w:pict>
          </mc:Fallback>
        </mc:AlternateContent>
      </w:r>
    </w:p>
    <w:p w:rsidR="00735CD7" w:rsidRPr="00203EE8" w:rsidRDefault="00735CD7" w:rsidP="00735CD7">
      <w:pPr>
        <w:spacing w:after="0" w:line="240" w:lineRule="auto"/>
        <w:ind w:left="1797"/>
        <w:outlineLvl w:val="0"/>
        <w:rPr>
          <w:rFonts w:ascii="Times New Roman" w:hAnsi="Times New Roman"/>
          <w:sz w:val="48"/>
          <w:szCs w:val="48"/>
        </w:rPr>
      </w:pPr>
      <w:r>
        <w:rPr>
          <w:noProof/>
        </w:rPr>
        <w:drawing>
          <wp:anchor distT="0" distB="0" distL="114300" distR="114300" simplePos="0" relativeHeight="251680768" behindDoc="0" locked="0" layoutInCell="1" allowOverlap="1" wp14:anchorId="2B529051" wp14:editId="1977452D">
            <wp:simplePos x="0" y="0"/>
            <wp:positionH relativeFrom="column">
              <wp:posOffset>0</wp:posOffset>
            </wp:positionH>
            <wp:positionV relativeFrom="paragraph">
              <wp:posOffset>45720</wp:posOffset>
            </wp:positionV>
            <wp:extent cx="876300" cy="914400"/>
            <wp:effectExtent l="0" t="0" r="0" b="0"/>
            <wp:wrapNone/>
            <wp:docPr id="9" name="Picture 9" descr="Description: commonwealth logo 6 p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ommonwealth logo 6 pi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EE8">
        <w:rPr>
          <w:rFonts w:ascii="Times New Roman" w:hAnsi="Times New Roman"/>
          <w:sz w:val="48"/>
          <w:szCs w:val="48"/>
        </w:rPr>
        <w:t xml:space="preserve">Commonwealth </w:t>
      </w:r>
    </w:p>
    <w:p w:rsidR="00735CD7" w:rsidRPr="00203EE8" w:rsidRDefault="00735CD7" w:rsidP="00735CD7">
      <w:pPr>
        <w:spacing w:after="0" w:line="240" w:lineRule="auto"/>
        <w:ind w:left="1797"/>
        <w:outlineLvl w:val="0"/>
        <w:rPr>
          <w:rFonts w:ascii="Times New Roman" w:hAnsi="Times New Roman"/>
          <w:sz w:val="48"/>
          <w:szCs w:val="48"/>
        </w:rPr>
      </w:pPr>
      <w:r w:rsidRPr="00203EE8">
        <w:rPr>
          <w:rFonts w:ascii="Times New Roman" w:hAnsi="Times New Roman"/>
          <w:sz w:val="48"/>
          <w:szCs w:val="48"/>
        </w:rPr>
        <w:t xml:space="preserve">Finance Ministers Meeting </w:t>
      </w:r>
    </w:p>
    <w:p w:rsidR="00735CD7" w:rsidRDefault="00735CD7" w:rsidP="00735CD7">
      <w:pPr>
        <w:tabs>
          <w:tab w:val="left" w:pos="2145"/>
        </w:tabs>
        <w:ind w:left="1800"/>
        <w:outlineLvl w:val="0"/>
        <w:rPr>
          <w:rFonts w:ascii="Times New Roman" w:hAnsi="Times New Roman"/>
          <w:sz w:val="28"/>
          <w:szCs w:val="28"/>
        </w:rPr>
      </w:pPr>
      <w:r>
        <w:rPr>
          <w:rFonts w:ascii="Times New Roman" w:hAnsi="Times New Roman"/>
          <w:sz w:val="28"/>
          <w:szCs w:val="28"/>
        </w:rPr>
        <w:t>Tokyo, Wednesday, 10 October 2012</w:t>
      </w:r>
    </w:p>
    <w:p w:rsidR="00735CD7" w:rsidRPr="00362E29" w:rsidRDefault="00735CD7" w:rsidP="00735CD7">
      <w:pPr>
        <w:tabs>
          <w:tab w:val="left" w:pos="2145"/>
        </w:tabs>
        <w:ind w:left="1800"/>
        <w:rPr>
          <w:rFonts w:ascii="Times New Roman" w:hAnsi="Times New Roman"/>
          <w:b/>
          <w:bCs/>
          <w:color w:val="000000"/>
          <w:sz w:val="20"/>
          <w:szCs w:val="20"/>
        </w:rPr>
      </w:pPr>
      <w:r>
        <w:rPr>
          <w:noProof/>
        </w:rPr>
        <mc:AlternateContent>
          <mc:Choice Requires="wpc">
            <w:drawing>
              <wp:anchor distT="0" distB="0" distL="114300" distR="114300" simplePos="0" relativeHeight="251678720" behindDoc="0" locked="0" layoutInCell="1" allowOverlap="1" wp14:anchorId="0FA58958" wp14:editId="5C92BF12">
                <wp:simplePos x="0" y="0"/>
                <wp:positionH relativeFrom="column">
                  <wp:posOffset>6350</wp:posOffset>
                </wp:positionH>
                <wp:positionV relativeFrom="paragraph">
                  <wp:posOffset>125730</wp:posOffset>
                </wp:positionV>
                <wp:extent cx="5715000" cy="228600"/>
                <wp:effectExtent l="0" t="0" r="19050" b="0"/>
                <wp:wrapNone/>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Line 11"/>
                        <wps:cNvCnPr/>
                        <wps:spPr bwMode="auto">
                          <a:xfrm>
                            <a:off x="0" y="78581"/>
                            <a:ext cx="5715000" cy="79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6" o:spid="_x0000_s1026" editas="canvas" style="position:absolute;margin-left:.5pt;margin-top:9.9pt;width:450pt;height:18pt;z-index:251678720" coordsize="5715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MkJgIAAIkEAAAOAAAAZHJzL2Uyb0RvYy54bWysVMGO2jAQvVfqP1i+QxIaFrAIqyqBXrbd&#10;ldp+gLEdYsmxI9sQUNV/79gJbGkvVdscnLFn8ubNzHPWj+dWoZOwThpd4GyaYiQ0M1zqQ4G/ftlN&#10;lhg5TzWnymhR4Itw+HHz9s2674iYmcYoLiwCEO1I3xW48b4jSeJYI1rqpqYTGpy1sS31sLWHhFva&#10;A3qrklmaPiS9sbyzhgnn4LQanHgT8etaMP9c1054pAoM3HxcbVz3YU02a0oOlnaNZCMN+hcsWio1&#10;JL1BVdRTdLTyN6hWMmucqf2UmTYxdS2ZiDVANVn6SzUl1SfqYjEMunMlCNZ/xN0fAm9tdlIp6EYC&#10;6CSchXcP8xFw2HcwHdfd5uT+Lf/nhnYiluUI+3R6sUjyAs8x0rQFjTxJLVCWhdmExBBR6hc77lwH&#10;4fv+o+EQSY/exLafa9uGMqCh6ByneynwYjlfRhRKxNkjBo75IpunKQiBBf8qDzkSSq6fd9b5D8K0&#10;KBgFVkAkwtPTk/ND6DXkrmmUKI160P9sAeDB5YySPLQ0buxhXyqLTjSoMD5j4rswa46aQxZKGkH5&#10;drQ9lWqwgajSwQ3VAJ/RGmT2bZWutsvtMp/ks4ftJE+ravJ+V+aTh122mFfvqrKssu+BWpaTRnIu&#10;dGB3lXyW/9lEx8s3iPUm+lfx3KPH3gLZ6zuSBoE5EqY4THdv+CUON56DyEYJgvziZ+PdDBfq532M&#10;ev2DbH4AAAD//wMAUEsDBBQABgAIAAAAIQA6n1/d3QAAAAcBAAAPAAAAZHJzL2Rvd25yZXYueG1s&#10;TI9BT8MwDIXvSPyHyEjcWMK0ja40nRASCMEBGJW4Zo3XViRO1WRr4dfjneBkPT/r+XvFZvJOHHGI&#10;XSAN1zMFAqkOtqNGQ/XxcJWBiMmQNS4QavjGCJvy/KwwuQ0jveNxmxrBIRRzo6FNqc+ljHWL3sRZ&#10;6JHY24fBm8RyaKQdzMjh3sm5UivpTUf8oTU93rdYf20PXsNivnfZ2+Pq5eepqsbnz0V3o147rS8v&#10;prtbEAmn9HcMJ3xGh5KZduFANgrHmpskHmsuwPZanRY7DctlBrIs5H/+8hcAAP//AwBQSwECLQAU&#10;AAYACAAAACEAtoM4kv4AAADhAQAAEwAAAAAAAAAAAAAAAAAAAAAAW0NvbnRlbnRfVHlwZXNdLnht&#10;bFBLAQItABQABgAIAAAAIQA4/SH/1gAAAJQBAAALAAAAAAAAAAAAAAAAAC8BAABfcmVscy8ucmVs&#10;c1BLAQItABQABgAIAAAAIQBbGVMkJgIAAIkEAAAOAAAAAAAAAAAAAAAAAC4CAABkcnMvZTJvRG9j&#10;LnhtbFBLAQItABQABgAIAAAAIQA6n1/d3QAAAAcBAAAPAAAAAAAAAAAAAAAAAIAEAABkcnMvZG93&#10;bnJldi54bWxQSwUGAAAAAAQABADzAAAAigUAAAAA&#10;">
                <v:shape id="_x0000_s1027" type="#_x0000_t75" style="position:absolute;width:57150;height:2286;visibility:visible;mso-wrap-style:square">
                  <v:fill o:detectmouseclick="t"/>
                  <v:path o:connecttype="none"/>
                </v:shape>
                <v:line id="Line 11" o:spid="_x0000_s1028" style="position:absolute;visibility:visible;mso-wrap-style:square" from="0,785" to="57150,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group>
            </w:pict>
          </mc:Fallback>
        </mc:AlternateContent>
      </w:r>
    </w:p>
    <w:p w:rsidR="00735CD7" w:rsidRPr="001E5F21" w:rsidRDefault="00735CD7" w:rsidP="00735CD7">
      <w:pPr>
        <w:pStyle w:val="Default"/>
        <w:ind w:left="6973"/>
        <w:jc w:val="center"/>
        <w:rPr>
          <w:b/>
          <w:bCs/>
        </w:rPr>
      </w:pPr>
    </w:p>
    <w:p w:rsidR="00735CD7" w:rsidRPr="00927637" w:rsidRDefault="00735CD7" w:rsidP="00735CD7">
      <w:pPr>
        <w:pStyle w:val="Default"/>
        <w:jc w:val="both"/>
        <w:outlineLvl w:val="0"/>
        <w:rPr>
          <w:b/>
          <w:bCs/>
        </w:rPr>
      </w:pPr>
      <w:r w:rsidRPr="00927637">
        <w:rPr>
          <w:b/>
          <w:bCs/>
        </w:rPr>
        <w:t>Provisional Agenda Item</w:t>
      </w:r>
      <w:r w:rsidR="007F6CE2">
        <w:rPr>
          <w:b/>
          <w:bCs/>
        </w:rPr>
        <w:t xml:space="preserve"> 4</w:t>
      </w:r>
      <w:r w:rsidRPr="00927637">
        <w:rPr>
          <w:b/>
          <w:bCs/>
        </w:rPr>
        <w:tab/>
      </w:r>
      <w:r w:rsidRPr="00927637">
        <w:rPr>
          <w:b/>
          <w:bCs/>
        </w:rPr>
        <w:tab/>
      </w:r>
      <w:r w:rsidRPr="00927637">
        <w:rPr>
          <w:b/>
          <w:bCs/>
        </w:rPr>
        <w:tab/>
      </w:r>
      <w:r w:rsidRPr="00927637">
        <w:rPr>
          <w:b/>
          <w:bCs/>
        </w:rPr>
        <w:tab/>
      </w:r>
      <w:r w:rsidRPr="00927637">
        <w:rPr>
          <w:b/>
          <w:bCs/>
        </w:rPr>
        <w:tab/>
        <w:t xml:space="preserve"> </w:t>
      </w:r>
      <w:r w:rsidRPr="00927637">
        <w:rPr>
          <w:b/>
          <w:bCs/>
        </w:rPr>
        <w:tab/>
      </w:r>
      <w:r w:rsidRPr="00927637">
        <w:rPr>
          <w:b/>
          <w:bCs/>
        </w:rPr>
        <w:tab/>
        <w:t xml:space="preserve">         </w:t>
      </w:r>
      <w:r w:rsidR="00744AA6" w:rsidRPr="00927637">
        <w:rPr>
          <w:b/>
          <w:bCs/>
        </w:rPr>
        <w:t>FMM(12)</w:t>
      </w:r>
      <w:r w:rsidR="007F6CE2">
        <w:rPr>
          <w:b/>
          <w:bCs/>
        </w:rPr>
        <w:t>4</w:t>
      </w:r>
    </w:p>
    <w:p w:rsidR="00735CD7" w:rsidRPr="00927637" w:rsidRDefault="00735CD7" w:rsidP="00735CD7">
      <w:pPr>
        <w:pStyle w:val="Default"/>
        <w:ind w:left="6973" w:firstLine="360"/>
        <w:jc w:val="center"/>
        <w:rPr>
          <w:b/>
          <w:bCs/>
        </w:rPr>
      </w:pPr>
    </w:p>
    <w:p w:rsidR="00735CD7" w:rsidRPr="00927637" w:rsidRDefault="00735CD7" w:rsidP="00735CD7">
      <w:pPr>
        <w:pStyle w:val="Default"/>
        <w:ind w:left="360"/>
        <w:jc w:val="center"/>
        <w:rPr>
          <w:b/>
          <w:bCs/>
        </w:rPr>
      </w:pPr>
    </w:p>
    <w:p w:rsidR="007F6CE2" w:rsidRPr="00927637" w:rsidRDefault="007F6CE2" w:rsidP="00735CD7">
      <w:pPr>
        <w:pStyle w:val="Default"/>
        <w:rPr>
          <w:lang w:val="en-US"/>
        </w:rPr>
      </w:pPr>
    </w:p>
    <w:p w:rsidR="00735CD7" w:rsidRPr="00927637" w:rsidRDefault="00735CD7" w:rsidP="00735CD7">
      <w:pPr>
        <w:pStyle w:val="Default"/>
        <w:rPr>
          <w:lang w:val="en-US"/>
        </w:rPr>
      </w:pPr>
    </w:p>
    <w:p w:rsidR="00735CD7" w:rsidRPr="00927637" w:rsidRDefault="00735CD7" w:rsidP="00735CD7">
      <w:pPr>
        <w:pStyle w:val="Default"/>
        <w:rPr>
          <w:lang w:val="en-US"/>
        </w:rPr>
      </w:pPr>
    </w:p>
    <w:p w:rsidR="00735CD7" w:rsidRPr="00927637" w:rsidRDefault="00735CD7" w:rsidP="00735CD7">
      <w:pPr>
        <w:pStyle w:val="Default"/>
        <w:rPr>
          <w:lang w:val="en-US"/>
        </w:rPr>
      </w:pPr>
    </w:p>
    <w:p w:rsidR="00735CD7" w:rsidRPr="005F6851" w:rsidRDefault="00735CD7" w:rsidP="00735CD7">
      <w:pPr>
        <w:ind w:right="288"/>
        <w:jc w:val="center"/>
        <w:rPr>
          <w:rFonts w:ascii="Times New Roman" w:hAnsi="Times New Roman" w:cs="Times New Roman"/>
          <w:b/>
          <w:sz w:val="32"/>
          <w:szCs w:val="32"/>
        </w:rPr>
      </w:pPr>
      <w:r w:rsidRPr="005F6851">
        <w:rPr>
          <w:rFonts w:ascii="Times New Roman" w:hAnsi="Times New Roman" w:cs="Times New Roman"/>
          <w:b/>
          <w:sz w:val="32"/>
          <w:szCs w:val="32"/>
        </w:rPr>
        <w:t>Exogenous Shocks – Dealing with the Only Certainty: Uncertainty</w:t>
      </w:r>
    </w:p>
    <w:p w:rsidR="00735CD7" w:rsidRDefault="00735CD7" w:rsidP="00735CD7">
      <w:pPr>
        <w:ind w:right="288"/>
        <w:jc w:val="center"/>
        <w:rPr>
          <w:rFonts w:ascii="Times New Roman" w:hAnsi="Times New Roman" w:cs="Times New Roman"/>
          <w:b/>
          <w:sz w:val="44"/>
          <w:szCs w:val="44"/>
        </w:rPr>
      </w:pPr>
    </w:p>
    <w:p w:rsidR="007F6CE2" w:rsidRPr="00B04A17" w:rsidRDefault="007F6CE2" w:rsidP="00735CD7">
      <w:pPr>
        <w:ind w:right="288"/>
        <w:jc w:val="center"/>
        <w:rPr>
          <w:rFonts w:ascii="Times New Roman" w:hAnsi="Times New Roman" w:cs="Times New Roman"/>
          <w:b/>
          <w:sz w:val="44"/>
          <w:szCs w:val="44"/>
        </w:rPr>
      </w:pPr>
    </w:p>
    <w:p w:rsidR="00FF7346" w:rsidRPr="00B04A17" w:rsidRDefault="00FF7346" w:rsidP="00735CD7">
      <w:pPr>
        <w:ind w:right="288"/>
        <w:jc w:val="center"/>
        <w:rPr>
          <w:rFonts w:ascii="Times New Roman" w:hAnsi="Times New Roman" w:cs="Times New Roman"/>
          <w:b/>
          <w:sz w:val="44"/>
          <w:szCs w:val="44"/>
        </w:rPr>
      </w:pPr>
      <w:r w:rsidRPr="0024560A">
        <w:rPr>
          <w:rFonts w:ascii="Times New Roman" w:hAnsi="Times New Roman" w:cs="Times New Roman"/>
          <w:sz w:val="24"/>
          <w:szCs w:val="24"/>
        </w:rPr>
        <w:t>Paper prepared for the Commonwealth Secretariat</w:t>
      </w:r>
      <w:r w:rsidR="00C17474" w:rsidRPr="000C4D37">
        <w:rPr>
          <w:rStyle w:val="FootnoteReference"/>
          <w:rFonts w:ascii="Times New Roman" w:hAnsi="Times New Roman" w:cs="Times New Roman"/>
          <w:sz w:val="24"/>
          <w:szCs w:val="24"/>
        </w:rPr>
        <w:footnoteReference w:id="1"/>
      </w:r>
    </w:p>
    <w:p w:rsidR="00735CD7" w:rsidRPr="00B04A17" w:rsidRDefault="00735CD7" w:rsidP="00735CD7">
      <w:pPr>
        <w:ind w:right="288"/>
        <w:jc w:val="center"/>
        <w:rPr>
          <w:rFonts w:ascii="Times New Roman" w:hAnsi="Times New Roman" w:cs="Times New Roman"/>
          <w:b/>
          <w:sz w:val="32"/>
          <w:szCs w:val="32"/>
        </w:rPr>
      </w:pPr>
    </w:p>
    <w:p w:rsidR="00735CD7" w:rsidRPr="00B04A17" w:rsidRDefault="00735CD7" w:rsidP="00735CD7">
      <w:pPr>
        <w:ind w:right="288"/>
        <w:jc w:val="center"/>
        <w:rPr>
          <w:rFonts w:ascii="Times New Roman" w:hAnsi="Times New Roman" w:cs="Times New Roman"/>
          <w:b/>
          <w:sz w:val="32"/>
          <w:szCs w:val="32"/>
        </w:rPr>
      </w:pPr>
    </w:p>
    <w:p w:rsidR="00C17474" w:rsidRPr="00B04A17" w:rsidRDefault="00C17474" w:rsidP="00735CD7">
      <w:pPr>
        <w:ind w:right="288"/>
        <w:jc w:val="center"/>
        <w:rPr>
          <w:rFonts w:ascii="Times New Roman" w:hAnsi="Times New Roman" w:cs="Times New Roman"/>
          <w:b/>
          <w:sz w:val="32"/>
          <w:szCs w:val="32"/>
        </w:rPr>
      </w:pPr>
    </w:p>
    <w:p w:rsidR="00C17474" w:rsidRPr="00B04A17" w:rsidRDefault="00C17474" w:rsidP="00735CD7">
      <w:pPr>
        <w:ind w:right="288"/>
        <w:jc w:val="center"/>
        <w:rPr>
          <w:rFonts w:ascii="Times New Roman" w:hAnsi="Times New Roman" w:cs="Times New Roman"/>
          <w:b/>
          <w:sz w:val="32"/>
          <w:szCs w:val="32"/>
        </w:rPr>
      </w:pPr>
    </w:p>
    <w:p w:rsidR="00C17474" w:rsidRPr="00927637" w:rsidRDefault="00C17474" w:rsidP="00C17474">
      <w:pPr>
        <w:pStyle w:val="Default"/>
        <w:outlineLvl w:val="0"/>
      </w:pPr>
      <w:r w:rsidRPr="00927637">
        <w:t xml:space="preserve">Commonwealth Secretariat </w:t>
      </w:r>
    </w:p>
    <w:p w:rsidR="00C17474" w:rsidRPr="00927637" w:rsidRDefault="00C17474" w:rsidP="00C17474">
      <w:pPr>
        <w:pStyle w:val="Default"/>
      </w:pPr>
      <w:r w:rsidRPr="00927637">
        <w:t xml:space="preserve">Marlborough House </w:t>
      </w:r>
    </w:p>
    <w:p w:rsidR="00C17474" w:rsidRPr="00927637" w:rsidRDefault="00C17474" w:rsidP="00C17474">
      <w:pPr>
        <w:pStyle w:val="Default"/>
      </w:pPr>
      <w:r w:rsidRPr="00927637">
        <w:t xml:space="preserve">London SW1Y 5HX </w:t>
      </w:r>
    </w:p>
    <w:p w:rsidR="00C17474" w:rsidRPr="00927637" w:rsidRDefault="00C17474" w:rsidP="00C17474">
      <w:pPr>
        <w:pStyle w:val="Default"/>
      </w:pPr>
    </w:p>
    <w:p w:rsidR="007F6CE2" w:rsidRDefault="00C17474" w:rsidP="00C17474">
      <w:pPr>
        <w:spacing w:after="0" w:line="240" w:lineRule="auto"/>
        <w:rPr>
          <w:rFonts w:ascii="Times New Roman" w:hAnsi="Times New Roman" w:cs="Times New Roman"/>
        </w:rPr>
      </w:pPr>
      <w:r w:rsidRPr="0024560A">
        <w:rPr>
          <w:rFonts w:ascii="Times New Roman" w:hAnsi="Times New Roman" w:cs="Times New Roman"/>
        </w:rPr>
        <w:t>September 2012</w:t>
      </w:r>
    </w:p>
    <w:p w:rsidR="007F6CE2" w:rsidRDefault="007F6CE2" w:rsidP="0052341E">
      <w:pPr>
        <w:spacing w:after="0" w:line="240" w:lineRule="auto"/>
        <w:jc w:val="both"/>
        <w:rPr>
          <w:rFonts w:ascii="Times New Roman" w:hAnsi="Times New Roman" w:cs="Times New Roman"/>
          <w:b/>
          <w:sz w:val="28"/>
          <w:szCs w:val="28"/>
          <w:lang w:val="en-US"/>
        </w:rPr>
        <w:sectPr w:rsidR="007F6CE2" w:rsidSect="000F2420">
          <w:footerReference w:type="even" r:id="rId10"/>
          <w:footerReference w:type="default" r:id="rId11"/>
          <w:footerReference w:type="first" r:id="rId12"/>
          <w:type w:val="continuous"/>
          <w:pgSz w:w="11907" w:h="16839" w:code="9"/>
          <w:pgMar w:top="1440" w:right="1440" w:bottom="1440" w:left="1440" w:header="708" w:footer="708" w:gutter="0"/>
          <w:pgNumType w:start="1"/>
          <w:cols w:space="708"/>
          <w:titlePg/>
          <w:docGrid w:linePitch="360"/>
        </w:sectPr>
      </w:pPr>
    </w:p>
    <w:p w:rsidR="00AD6E7C" w:rsidRDefault="00AD6E7C" w:rsidP="0052341E">
      <w:pPr>
        <w:spacing w:after="0" w:line="240" w:lineRule="auto"/>
        <w:jc w:val="both"/>
        <w:rPr>
          <w:rFonts w:ascii="Times New Roman" w:hAnsi="Times New Roman" w:cs="Times New Roman"/>
          <w:b/>
          <w:sz w:val="28"/>
          <w:szCs w:val="28"/>
          <w:lang w:val="en-US"/>
        </w:rPr>
      </w:pPr>
    </w:p>
    <w:p w:rsidR="00084DE6" w:rsidRDefault="00084DE6" w:rsidP="0052341E">
      <w:pPr>
        <w:spacing w:after="0" w:line="240" w:lineRule="auto"/>
        <w:jc w:val="both"/>
        <w:rPr>
          <w:rFonts w:ascii="Times New Roman" w:hAnsi="Times New Roman" w:cs="Times New Roman"/>
          <w:b/>
          <w:sz w:val="28"/>
          <w:szCs w:val="28"/>
          <w:lang w:val="en-US"/>
        </w:rPr>
      </w:pPr>
      <w:r w:rsidRPr="00EE0E52">
        <w:rPr>
          <w:rFonts w:ascii="Times New Roman" w:hAnsi="Times New Roman" w:cs="Times New Roman"/>
          <w:b/>
          <w:sz w:val="28"/>
          <w:szCs w:val="28"/>
          <w:lang w:val="en-US"/>
        </w:rPr>
        <w:t>EXECUTIVE SUMMARY</w:t>
      </w:r>
    </w:p>
    <w:p w:rsidR="005903D0" w:rsidRDefault="005903D0" w:rsidP="00EE0E52">
      <w:pPr>
        <w:spacing w:after="0" w:line="240" w:lineRule="auto"/>
        <w:jc w:val="both"/>
        <w:rPr>
          <w:rFonts w:ascii="Times New Roman" w:hAnsi="Times New Roman" w:cs="Times New Roman"/>
          <w:b/>
          <w:lang w:val="en-US"/>
        </w:rPr>
      </w:pPr>
    </w:p>
    <w:p w:rsidR="005903D0" w:rsidRPr="00EE0E52" w:rsidRDefault="0055792A" w:rsidP="00EE0E52">
      <w:pPr>
        <w:tabs>
          <w:tab w:val="left" w:pos="567"/>
        </w:tabs>
        <w:spacing w:after="0" w:line="240" w:lineRule="auto"/>
        <w:jc w:val="both"/>
        <w:rPr>
          <w:rFonts w:ascii="Times New Roman" w:hAnsi="Times New Roman" w:cs="Times New Roman"/>
          <w:sz w:val="24"/>
          <w:szCs w:val="24"/>
          <w:lang w:val="en-US"/>
        </w:rPr>
      </w:pPr>
      <w:r>
        <w:rPr>
          <w:rFonts w:ascii="Times New Roman" w:hAnsi="Times New Roman" w:cs="Times New Roman"/>
          <w:lang w:val="en-US"/>
        </w:rPr>
        <w:tab/>
      </w:r>
      <w:r w:rsidR="005903D0" w:rsidRPr="00EE0E52">
        <w:rPr>
          <w:rFonts w:ascii="Times New Roman" w:hAnsi="Times New Roman" w:cs="Times New Roman"/>
          <w:sz w:val="24"/>
          <w:szCs w:val="24"/>
          <w:lang w:val="en-US"/>
        </w:rPr>
        <w:t xml:space="preserve">Uncertainty, risk and </w:t>
      </w:r>
      <w:r w:rsidR="005A63DF" w:rsidRPr="00EE0E52">
        <w:rPr>
          <w:rFonts w:ascii="Times New Roman" w:hAnsi="Times New Roman" w:cs="Times New Roman"/>
          <w:sz w:val="24"/>
          <w:szCs w:val="24"/>
          <w:lang w:val="en-US"/>
        </w:rPr>
        <w:t xml:space="preserve">attendant constraints on </w:t>
      </w:r>
      <w:r w:rsidR="005903D0" w:rsidRPr="00EE0E52">
        <w:rPr>
          <w:rFonts w:ascii="Times New Roman" w:hAnsi="Times New Roman" w:cs="Times New Roman"/>
          <w:sz w:val="24"/>
          <w:szCs w:val="24"/>
          <w:lang w:val="en-US"/>
        </w:rPr>
        <w:t xml:space="preserve">the ability of Commonwealth members including the poorest, smallest and </w:t>
      </w:r>
      <w:r w:rsidR="005A63DF" w:rsidRPr="00EE0E52">
        <w:rPr>
          <w:rFonts w:ascii="Times New Roman" w:hAnsi="Times New Roman" w:cs="Times New Roman"/>
          <w:sz w:val="24"/>
          <w:szCs w:val="24"/>
          <w:lang w:val="en-US"/>
        </w:rPr>
        <w:t xml:space="preserve">most </w:t>
      </w:r>
      <w:r w:rsidR="005903D0" w:rsidRPr="00EE0E52">
        <w:rPr>
          <w:rFonts w:ascii="Times New Roman" w:hAnsi="Times New Roman" w:cs="Times New Roman"/>
          <w:sz w:val="24"/>
          <w:szCs w:val="24"/>
          <w:lang w:val="en-US"/>
        </w:rPr>
        <w:t>vulnerable Commonwealth members, to address their macroeconomic, developmental and other challenges in recovering growth and sustainable development</w:t>
      </w:r>
      <w:r w:rsidR="005A63DF" w:rsidRPr="00EE0E52">
        <w:rPr>
          <w:rFonts w:ascii="Times New Roman" w:hAnsi="Times New Roman" w:cs="Times New Roman"/>
          <w:sz w:val="24"/>
          <w:szCs w:val="24"/>
          <w:lang w:val="en-US"/>
        </w:rPr>
        <w:t>,</w:t>
      </w:r>
      <w:r w:rsidR="005903D0" w:rsidRPr="00EE0E52">
        <w:rPr>
          <w:rFonts w:ascii="Times New Roman" w:hAnsi="Times New Roman" w:cs="Times New Roman"/>
          <w:sz w:val="24"/>
          <w:szCs w:val="24"/>
          <w:lang w:val="en-US"/>
        </w:rPr>
        <w:t xml:space="preserve"> have escalated</w:t>
      </w:r>
      <w:r w:rsidR="005A63DF" w:rsidRPr="00EE0E52">
        <w:rPr>
          <w:rFonts w:ascii="Times New Roman" w:hAnsi="Times New Roman" w:cs="Times New Roman"/>
          <w:sz w:val="24"/>
          <w:szCs w:val="24"/>
          <w:lang w:val="en-US"/>
        </w:rPr>
        <w:t xml:space="preserve"> significantly in recent years and evidence shows that e</w:t>
      </w:r>
      <w:r w:rsidR="005903D0" w:rsidRPr="00EE0E52">
        <w:rPr>
          <w:rFonts w:ascii="Times New Roman" w:hAnsi="Times New Roman" w:cs="Times New Roman"/>
          <w:sz w:val="24"/>
          <w:szCs w:val="24"/>
          <w:lang w:val="en-US"/>
        </w:rPr>
        <w:t>xternal shocks matter disproportionately f</w:t>
      </w:r>
      <w:r w:rsidR="00AD6E7C">
        <w:rPr>
          <w:rFonts w:ascii="Times New Roman" w:hAnsi="Times New Roman" w:cs="Times New Roman"/>
          <w:sz w:val="24"/>
          <w:szCs w:val="24"/>
          <w:lang w:val="en-US"/>
        </w:rPr>
        <w:t>o</w:t>
      </w:r>
      <w:r w:rsidR="005903D0" w:rsidRPr="00EE0E52">
        <w:rPr>
          <w:rFonts w:ascii="Times New Roman" w:hAnsi="Times New Roman" w:cs="Times New Roman"/>
          <w:sz w:val="24"/>
          <w:szCs w:val="24"/>
          <w:lang w:val="en-US"/>
        </w:rPr>
        <w:t>r the smallest and poorest members of the</w:t>
      </w:r>
      <w:r w:rsidR="005A63DF" w:rsidRPr="00EE0E52">
        <w:rPr>
          <w:rFonts w:ascii="Times New Roman" w:hAnsi="Times New Roman" w:cs="Times New Roman"/>
          <w:sz w:val="24"/>
          <w:szCs w:val="24"/>
          <w:lang w:val="en-US"/>
        </w:rPr>
        <w:t xml:space="preserve"> Commonwealth</w:t>
      </w:r>
      <w:r w:rsidR="005903D0" w:rsidRPr="00EE0E52">
        <w:rPr>
          <w:rFonts w:ascii="Times New Roman" w:hAnsi="Times New Roman" w:cs="Times New Roman"/>
          <w:sz w:val="24"/>
          <w:szCs w:val="24"/>
          <w:lang w:val="en-US"/>
        </w:rPr>
        <w:t>.</w:t>
      </w:r>
    </w:p>
    <w:p w:rsidR="00203FCE" w:rsidRPr="00EE0E52" w:rsidRDefault="00203FCE" w:rsidP="00EE0E52">
      <w:pPr>
        <w:tabs>
          <w:tab w:val="left" w:pos="567"/>
        </w:tabs>
        <w:spacing w:after="0" w:line="240" w:lineRule="auto"/>
        <w:jc w:val="both"/>
        <w:rPr>
          <w:rFonts w:ascii="Times New Roman" w:hAnsi="Times New Roman" w:cs="Times New Roman"/>
          <w:sz w:val="24"/>
          <w:szCs w:val="24"/>
          <w:lang w:val="en-US"/>
        </w:rPr>
      </w:pPr>
    </w:p>
    <w:p w:rsidR="00203FCE" w:rsidRPr="00EE0E52" w:rsidRDefault="0055792A" w:rsidP="00EE0E52">
      <w:pPr>
        <w:tabs>
          <w:tab w:val="left" w:pos="567"/>
        </w:tabs>
        <w:spacing w:after="0" w:line="240" w:lineRule="auto"/>
        <w:jc w:val="both"/>
        <w:rPr>
          <w:rFonts w:ascii="Times New Roman" w:hAnsi="Times New Roman" w:cs="Times New Roman"/>
          <w:sz w:val="24"/>
          <w:szCs w:val="24"/>
          <w:lang w:val="en-US"/>
        </w:rPr>
      </w:pPr>
      <w:r w:rsidRPr="00EE0E52">
        <w:rPr>
          <w:rFonts w:ascii="Times New Roman" w:hAnsi="Times New Roman" w:cs="Times New Roman"/>
          <w:sz w:val="24"/>
          <w:szCs w:val="24"/>
          <w:lang w:val="en-US"/>
        </w:rPr>
        <w:tab/>
      </w:r>
      <w:r w:rsidR="00203FCE" w:rsidRPr="00EE0E52">
        <w:rPr>
          <w:rFonts w:ascii="Times New Roman" w:hAnsi="Times New Roman" w:cs="Times New Roman"/>
          <w:sz w:val="24"/>
          <w:szCs w:val="24"/>
          <w:lang w:val="en-US"/>
        </w:rPr>
        <w:t>A key contribut</w:t>
      </w:r>
      <w:r w:rsidR="001E2172" w:rsidRPr="00EE0E52">
        <w:rPr>
          <w:rFonts w:ascii="Times New Roman" w:hAnsi="Times New Roman" w:cs="Times New Roman"/>
          <w:sz w:val="24"/>
          <w:szCs w:val="24"/>
          <w:lang w:val="en-US"/>
        </w:rPr>
        <w:t>ion</w:t>
      </w:r>
      <w:r w:rsidR="00203FCE" w:rsidRPr="00EE0E52">
        <w:rPr>
          <w:rFonts w:ascii="Times New Roman" w:hAnsi="Times New Roman" w:cs="Times New Roman"/>
          <w:sz w:val="24"/>
          <w:szCs w:val="24"/>
          <w:lang w:val="en-US"/>
        </w:rPr>
        <w:t xml:space="preserve"> in addressing external shocks comprises adequate </w:t>
      </w:r>
      <w:r w:rsidR="005A63DF" w:rsidRPr="00EE0E52">
        <w:rPr>
          <w:rFonts w:ascii="Times New Roman" w:hAnsi="Times New Roman" w:cs="Times New Roman"/>
          <w:sz w:val="24"/>
          <w:szCs w:val="24"/>
          <w:lang w:val="en-US"/>
        </w:rPr>
        <w:t xml:space="preserve">and readily </w:t>
      </w:r>
      <w:r w:rsidR="00203FCE" w:rsidRPr="00EE0E52">
        <w:rPr>
          <w:rFonts w:ascii="Times New Roman" w:hAnsi="Times New Roman" w:cs="Times New Roman"/>
          <w:sz w:val="24"/>
          <w:szCs w:val="24"/>
          <w:lang w:val="en-US"/>
        </w:rPr>
        <w:t>accessible shock</w:t>
      </w:r>
      <w:r w:rsidR="001E2172" w:rsidRPr="00EE0E52">
        <w:rPr>
          <w:rFonts w:ascii="Times New Roman" w:hAnsi="Times New Roman" w:cs="Times New Roman"/>
          <w:sz w:val="24"/>
          <w:szCs w:val="24"/>
          <w:lang w:val="en-US"/>
        </w:rPr>
        <w:t xml:space="preserve"> facilities</w:t>
      </w:r>
      <w:r w:rsidR="00203FCE" w:rsidRPr="00EE0E52">
        <w:rPr>
          <w:rFonts w:ascii="Times New Roman" w:hAnsi="Times New Roman" w:cs="Times New Roman"/>
          <w:sz w:val="24"/>
          <w:szCs w:val="24"/>
          <w:lang w:val="en-US"/>
        </w:rPr>
        <w:t>. Important improvements were made</w:t>
      </w:r>
      <w:r w:rsidR="005A63DF" w:rsidRPr="00EE0E52">
        <w:rPr>
          <w:rFonts w:ascii="Times New Roman" w:hAnsi="Times New Roman" w:cs="Times New Roman"/>
          <w:sz w:val="24"/>
          <w:szCs w:val="24"/>
          <w:lang w:val="en-US"/>
        </w:rPr>
        <w:t xml:space="preserve"> by </w:t>
      </w:r>
      <w:r w:rsidR="008054F9">
        <w:rPr>
          <w:rFonts w:ascii="Times New Roman" w:hAnsi="Times New Roman" w:cs="Times New Roman"/>
          <w:sz w:val="24"/>
          <w:szCs w:val="24"/>
          <w:lang w:val="en-US"/>
        </w:rPr>
        <w:t>I</w:t>
      </w:r>
      <w:r w:rsidR="005A63DF" w:rsidRPr="00EE0E52">
        <w:rPr>
          <w:rFonts w:ascii="Times New Roman" w:hAnsi="Times New Roman" w:cs="Times New Roman"/>
          <w:sz w:val="24"/>
          <w:szCs w:val="24"/>
          <w:lang w:val="en-US"/>
        </w:rPr>
        <w:t xml:space="preserve">nternational </w:t>
      </w:r>
      <w:r w:rsidR="008054F9">
        <w:rPr>
          <w:rFonts w:ascii="Times New Roman" w:hAnsi="Times New Roman" w:cs="Times New Roman"/>
          <w:sz w:val="24"/>
          <w:szCs w:val="24"/>
          <w:lang w:val="en-US"/>
        </w:rPr>
        <w:t>F</w:t>
      </w:r>
      <w:r w:rsidR="005A63DF" w:rsidRPr="00EE0E52">
        <w:rPr>
          <w:rFonts w:ascii="Times New Roman" w:hAnsi="Times New Roman" w:cs="Times New Roman"/>
          <w:sz w:val="24"/>
          <w:szCs w:val="24"/>
          <w:lang w:val="en-US"/>
        </w:rPr>
        <w:t xml:space="preserve">inancial </w:t>
      </w:r>
      <w:r w:rsidR="008054F9">
        <w:rPr>
          <w:rFonts w:ascii="Times New Roman" w:hAnsi="Times New Roman" w:cs="Times New Roman"/>
          <w:sz w:val="24"/>
          <w:szCs w:val="24"/>
          <w:lang w:val="en-US"/>
        </w:rPr>
        <w:t>I</w:t>
      </w:r>
      <w:r w:rsidR="005A63DF" w:rsidRPr="00EE0E52">
        <w:rPr>
          <w:rFonts w:ascii="Times New Roman" w:hAnsi="Times New Roman" w:cs="Times New Roman"/>
          <w:sz w:val="24"/>
          <w:szCs w:val="24"/>
          <w:lang w:val="en-US"/>
        </w:rPr>
        <w:t>nstitutions (IFIs)</w:t>
      </w:r>
      <w:r w:rsidR="00203FCE" w:rsidRPr="00EE0E52">
        <w:rPr>
          <w:rFonts w:ascii="Times New Roman" w:hAnsi="Times New Roman" w:cs="Times New Roman"/>
          <w:sz w:val="24"/>
          <w:szCs w:val="24"/>
          <w:lang w:val="en-US"/>
        </w:rPr>
        <w:t xml:space="preserve"> to th</w:t>
      </w:r>
      <w:r w:rsidR="005A63DF" w:rsidRPr="00EE0E52">
        <w:rPr>
          <w:rFonts w:ascii="Times New Roman" w:hAnsi="Times New Roman" w:cs="Times New Roman"/>
          <w:sz w:val="24"/>
          <w:szCs w:val="24"/>
          <w:lang w:val="en-US"/>
        </w:rPr>
        <w:t>e</w:t>
      </w:r>
      <w:r w:rsidR="00203FCE" w:rsidRPr="00EE0E52">
        <w:rPr>
          <w:rFonts w:ascii="Times New Roman" w:hAnsi="Times New Roman" w:cs="Times New Roman"/>
          <w:sz w:val="24"/>
          <w:szCs w:val="24"/>
          <w:lang w:val="en-US"/>
        </w:rPr>
        <w:t>se facili</w:t>
      </w:r>
      <w:r w:rsidR="005A63DF" w:rsidRPr="00EE0E52">
        <w:rPr>
          <w:rFonts w:ascii="Times New Roman" w:hAnsi="Times New Roman" w:cs="Times New Roman"/>
          <w:sz w:val="24"/>
          <w:szCs w:val="24"/>
          <w:lang w:val="en-US"/>
        </w:rPr>
        <w:t>ties in the aftermath of the 20</w:t>
      </w:r>
      <w:r w:rsidR="00203FCE" w:rsidRPr="00EE0E52">
        <w:rPr>
          <w:rFonts w:ascii="Times New Roman" w:hAnsi="Times New Roman" w:cs="Times New Roman"/>
          <w:sz w:val="24"/>
          <w:szCs w:val="24"/>
          <w:lang w:val="en-US"/>
        </w:rPr>
        <w:t>08 and subsequent global financial crisis</w:t>
      </w:r>
      <w:r w:rsidR="005A63DF" w:rsidRPr="00EE0E52">
        <w:rPr>
          <w:rFonts w:ascii="Times New Roman" w:hAnsi="Times New Roman" w:cs="Times New Roman"/>
          <w:sz w:val="24"/>
          <w:szCs w:val="24"/>
          <w:lang w:val="en-US"/>
        </w:rPr>
        <w:t xml:space="preserve">. There were </w:t>
      </w:r>
      <w:r w:rsidR="00203FCE" w:rsidRPr="00EE0E52">
        <w:rPr>
          <w:rFonts w:ascii="Times New Roman" w:hAnsi="Times New Roman" w:cs="Times New Roman"/>
          <w:sz w:val="24"/>
          <w:szCs w:val="24"/>
          <w:lang w:val="en-US"/>
        </w:rPr>
        <w:t>significant changes to the shock</w:t>
      </w:r>
      <w:r w:rsidR="001E2172" w:rsidRPr="00EE0E52">
        <w:rPr>
          <w:rFonts w:ascii="Times New Roman" w:hAnsi="Times New Roman" w:cs="Times New Roman"/>
          <w:sz w:val="24"/>
          <w:szCs w:val="24"/>
          <w:lang w:val="en-US"/>
        </w:rPr>
        <w:t xml:space="preserve"> facilities </w:t>
      </w:r>
      <w:r w:rsidR="005A63DF" w:rsidRPr="00EE0E52">
        <w:rPr>
          <w:rFonts w:ascii="Times New Roman" w:hAnsi="Times New Roman" w:cs="Times New Roman"/>
          <w:sz w:val="24"/>
          <w:szCs w:val="24"/>
          <w:lang w:val="en-US"/>
        </w:rPr>
        <w:t xml:space="preserve">inter alia of the </w:t>
      </w:r>
      <w:r w:rsidR="00203FCE" w:rsidRPr="00EE0E52">
        <w:rPr>
          <w:rFonts w:ascii="Times New Roman" w:hAnsi="Times New Roman" w:cs="Times New Roman"/>
          <w:sz w:val="24"/>
          <w:szCs w:val="24"/>
          <w:lang w:val="en-US"/>
        </w:rPr>
        <w:t>IMF, World Bank, regional development banks and European Union</w:t>
      </w:r>
      <w:r w:rsidR="005A63DF" w:rsidRPr="00EE0E52">
        <w:rPr>
          <w:rFonts w:ascii="Times New Roman" w:hAnsi="Times New Roman" w:cs="Times New Roman"/>
          <w:sz w:val="24"/>
          <w:szCs w:val="24"/>
          <w:lang w:val="en-US"/>
        </w:rPr>
        <w:t>: and resources were augmented significantly.</w:t>
      </w:r>
    </w:p>
    <w:p w:rsidR="00203FCE" w:rsidRPr="00EE0E52" w:rsidRDefault="00203FCE" w:rsidP="00EE0E52">
      <w:pPr>
        <w:tabs>
          <w:tab w:val="left" w:pos="567"/>
        </w:tabs>
        <w:spacing w:after="0" w:line="240" w:lineRule="auto"/>
        <w:jc w:val="both"/>
        <w:rPr>
          <w:rFonts w:ascii="Times New Roman" w:hAnsi="Times New Roman" w:cs="Times New Roman"/>
          <w:sz w:val="24"/>
          <w:szCs w:val="24"/>
          <w:lang w:val="en-US"/>
        </w:rPr>
      </w:pPr>
    </w:p>
    <w:p w:rsidR="00203FCE" w:rsidRPr="00EE0E52" w:rsidRDefault="0055792A" w:rsidP="00EE0E52">
      <w:pPr>
        <w:tabs>
          <w:tab w:val="left" w:pos="567"/>
        </w:tabs>
        <w:spacing w:after="0" w:line="240" w:lineRule="auto"/>
        <w:jc w:val="both"/>
        <w:rPr>
          <w:rFonts w:ascii="Times New Roman" w:hAnsi="Times New Roman" w:cs="Times New Roman"/>
          <w:sz w:val="24"/>
          <w:szCs w:val="24"/>
          <w:lang w:val="en-US"/>
        </w:rPr>
      </w:pPr>
      <w:r w:rsidRPr="00EE0E52">
        <w:rPr>
          <w:rFonts w:ascii="Times New Roman" w:hAnsi="Times New Roman" w:cs="Times New Roman"/>
          <w:sz w:val="24"/>
          <w:szCs w:val="24"/>
          <w:lang w:val="en-US"/>
        </w:rPr>
        <w:tab/>
      </w:r>
      <w:r w:rsidR="00203FCE" w:rsidRPr="00EE0E52">
        <w:rPr>
          <w:rFonts w:ascii="Times New Roman" w:hAnsi="Times New Roman" w:cs="Times New Roman"/>
          <w:sz w:val="24"/>
          <w:szCs w:val="24"/>
          <w:lang w:val="en-US"/>
        </w:rPr>
        <w:t>As uncertainty has deepened and risks have grown, it is opportune for Commonwealth Finance Ministers to assess how best the existing international framework for s</w:t>
      </w:r>
      <w:r w:rsidR="001A2E20" w:rsidRPr="00EE0E52">
        <w:rPr>
          <w:rFonts w:ascii="Times New Roman" w:hAnsi="Times New Roman" w:cs="Times New Roman"/>
          <w:sz w:val="24"/>
          <w:szCs w:val="24"/>
          <w:lang w:val="en-US"/>
        </w:rPr>
        <w:t xml:space="preserve">hock facilities can be improved, in practical ways, to provide the liquidity needed by Commonwealth and other developing countries, as a counter-cyclical instrument to smooth the effects of internal shocks, </w:t>
      </w:r>
      <w:r w:rsidR="005A63DF" w:rsidRPr="00EE0E52">
        <w:rPr>
          <w:rFonts w:ascii="Times New Roman" w:hAnsi="Times New Roman" w:cs="Times New Roman"/>
          <w:sz w:val="24"/>
          <w:szCs w:val="24"/>
          <w:lang w:val="en-US"/>
        </w:rPr>
        <w:t xml:space="preserve">to </w:t>
      </w:r>
      <w:r w:rsidR="001A2E20" w:rsidRPr="00EE0E52">
        <w:rPr>
          <w:rFonts w:ascii="Times New Roman" w:hAnsi="Times New Roman" w:cs="Times New Roman"/>
          <w:sz w:val="24"/>
          <w:szCs w:val="24"/>
          <w:lang w:val="en-US"/>
        </w:rPr>
        <w:t xml:space="preserve">sustain growth and </w:t>
      </w:r>
      <w:r w:rsidR="005A63DF" w:rsidRPr="00EE0E52">
        <w:rPr>
          <w:rFonts w:ascii="Times New Roman" w:hAnsi="Times New Roman" w:cs="Times New Roman"/>
          <w:sz w:val="24"/>
          <w:szCs w:val="24"/>
          <w:lang w:val="en-US"/>
        </w:rPr>
        <w:t xml:space="preserve">to </w:t>
      </w:r>
      <w:r w:rsidR="001A2E20" w:rsidRPr="00EE0E52">
        <w:rPr>
          <w:rFonts w:ascii="Times New Roman" w:hAnsi="Times New Roman" w:cs="Times New Roman"/>
          <w:sz w:val="24"/>
          <w:szCs w:val="24"/>
          <w:lang w:val="en-US"/>
        </w:rPr>
        <w:t>protect</w:t>
      </w:r>
      <w:r w:rsidR="005A63DF" w:rsidRPr="00EE0E52">
        <w:rPr>
          <w:rFonts w:ascii="Times New Roman" w:hAnsi="Times New Roman" w:cs="Times New Roman"/>
          <w:sz w:val="24"/>
          <w:szCs w:val="24"/>
          <w:lang w:val="en-US"/>
        </w:rPr>
        <w:t xml:space="preserve"> social systems</w:t>
      </w:r>
      <w:r w:rsidR="001A2E20" w:rsidRPr="00EE0E52">
        <w:rPr>
          <w:rFonts w:ascii="Times New Roman" w:hAnsi="Times New Roman" w:cs="Times New Roman"/>
          <w:sz w:val="24"/>
          <w:szCs w:val="24"/>
          <w:lang w:val="en-US"/>
        </w:rPr>
        <w:t xml:space="preserve"> through crisis.</w:t>
      </w:r>
    </w:p>
    <w:p w:rsidR="001A2E20" w:rsidRPr="00EE0E52" w:rsidRDefault="001A2E20" w:rsidP="00EE0E52">
      <w:pPr>
        <w:tabs>
          <w:tab w:val="left" w:pos="567"/>
        </w:tabs>
        <w:spacing w:after="0" w:line="240" w:lineRule="auto"/>
        <w:jc w:val="both"/>
        <w:rPr>
          <w:rFonts w:ascii="Times New Roman" w:hAnsi="Times New Roman" w:cs="Times New Roman"/>
          <w:sz w:val="24"/>
          <w:szCs w:val="24"/>
          <w:lang w:val="en-US"/>
        </w:rPr>
      </w:pPr>
    </w:p>
    <w:p w:rsidR="001A2E20" w:rsidRPr="00EE0E52" w:rsidRDefault="0055792A" w:rsidP="00EE0E52">
      <w:pPr>
        <w:tabs>
          <w:tab w:val="left" w:pos="567"/>
        </w:tabs>
        <w:spacing w:after="0" w:line="240" w:lineRule="auto"/>
        <w:jc w:val="both"/>
        <w:rPr>
          <w:rFonts w:ascii="Times New Roman" w:hAnsi="Times New Roman" w:cs="Times New Roman"/>
          <w:sz w:val="24"/>
          <w:szCs w:val="24"/>
          <w:lang w:val="en-US"/>
        </w:rPr>
      </w:pPr>
      <w:r w:rsidRPr="00EE0E52">
        <w:rPr>
          <w:rFonts w:ascii="Times New Roman" w:hAnsi="Times New Roman" w:cs="Times New Roman"/>
          <w:sz w:val="24"/>
          <w:szCs w:val="24"/>
          <w:lang w:val="en-US"/>
        </w:rPr>
        <w:tab/>
      </w:r>
      <w:r w:rsidR="001A2E20" w:rsidRPr="00EE0E52">
        <w:rPr>
          <w:rFonts w:ascii="Times New Roman" w:hAnsi="Times New Roman" w:cs="Times New Roman"/>
          <w:sz w:val="24"/>
          <w:szCs w:val="24"/>
          <w:lang w:val="en-US"/>
        </w:rPr>
        <w:t>The paper assess</w:t>
      </w:r>
      <w:r w:rsidR="001E2172" w:rsidRPr="00EE0E52">
        <w:rPr>
          <w:rFonts w:ascii="Times New Roman" w:hAnsi="Times New Roman" w:cs="Times New Roman"/>
          <w:sz w:val="24"/>
          <w:szCs w:val="24"/>
          <w:lang w:val="en-US"/>
        </w:rPr>
        <w:t>es</w:t>
      </w:r>
      <w:r w:rsidR="001A2E20" w:rsidRPr="00EE0E52">
        <w:rPr>
          <w:rFonts w:ascii="Times New Roman" w:hAnsi="Times New Roman" w:cs="Times New Roman"/>
          <w:sz w:val="24"/>
          <w:szCs w:val="24"/>
          <w:lang w:val="en-US"/>
        </w:rPr>
        <w:t xml:space="preserve"> progress in the design and </w:t>
      </w:r>
      <w:r w:rsidR="005A63DF" w:rsidRPr="00EE0E52">
        <w:rPr>
          <w:rFonts w:ascii="Times New Roman" w:hAnsi="Times New Roman" w:cs="Times New Roman"/>
          <w:sz w:val="24"/>
          <w:szCs w:val="24"/>
          <w:lang w:val="en-US"/>
        </w:rPr>
        <w:t xml:space="preserve">use </w:t>
      </w:r>
      <w:r w:rsidR="001A2E20" w:rsidRPr="00EE0E52">
        <w:rPr>
          <w:rFonts w:ascii="Times New Roman" w:hAnsi="Times New Roman" w:cs="Times New Roman"/>
          <w:sz w:val="24"/>
          <w:szCs w:val="24"/>
          <w:lang w:val="en-US"/>
        </w:rPr>
        <w:t xml:space="preserve">of shock facilities since the crisis. The </w:t>
      </w:r>
      <w:r w:rsidR="001E2172" w:rsidRPr="00EE0E52">
        <w:rPr>
          <w:rFonts w:ascii="Times New Roman" w:hAnsi="Times New Roman" w:cs="Times New Roman"/>
          <w:sz w:val="24"/>
          <w:szCs w:val="24"/>
          <w:lang w:val="en-US"/>
        </w:rPr>
        <w:t xml:space="preserve">IMF </w:t>
      </w:r>
      <w:r w:rsidR="001A2E20" w:rsidRPr="00EE0E52">
        <w:rPr>
          <w:rFonts w:ascii="Times New Roman" w:hAnsi="Times New Roman" w:cs="Times New Roman"/>
          <w:sz w:val="24"/>
          <w:szCs w:val="24"/>
          <w:lang w:val="en-US"/>
        </w:rPr>
        <w:t xml:space="preserve">is </w:t>
      </w:r>
      <w:r w:rsidR="001E2172" w:rsidRPr="00EE0E52">
        <w:rPr>
          <w:rFonts w:ascii="Times New Roman" w:hAnsi="Times New Roman" w:cs="Times New Roman"/>
          <w:sz w:val="24"/>
          <w:szCs w:val="24"/>
          <w:lang w:val="en-US"/>
        </w:rPr>
        <w:t xml:space="preserve">reviewing </w:t>
      </w:r>
      <w:r w:rsidR="001A2E20" w:rsidRPr="00EE0E52">
        <w:rPr>
          <w:rFonts w:ascii="Times New Roman" w:hAnsi="Times New Roman" w:cs="Times New Roman"/>
          <w:sz w:val="24"/>
          <w:szCs w:val="24"/>
          <w:lang w:val="en-US"/>
        </w:rPr>
        <w:t>its current shock facilities, presenting a unique opportunity for Commonwealth members to provide practical inputs to the review process. The paper suggests a number of possible contributions.</w:t>
      </w:r>
    </w:p>
    <w:p w:rsidR="001A2E20" w:rsidRPr="00EE0E52" w:rsidRDefault="001A2E20" w:rsidP="00EE0E52">
      <w:pPr>
        <w:tabs>
          <w:tab w:val="left" w:pos="567"/>
        </w:tabs>
        <w:spacing w:after="0" w:line="240" w:lineRule="auto"/>
        <w:jc w:val="both"/>
        <w:rPr>
          <w:rFonts w:ascii="Times New Roman" w:hAnsi="Times New Roman" w:cs="Times New Roman"/>
          <w:sz w:val="24"/>
          <w:szCs w:val="24"/>
          <w:lang w:val="en-US"/>
        </w:rPr>
      </w:pPr>
    </w:p>
    <w:p w:rsidR="001A2E20" w:rsidRPr="00EE0E52" w:rsidRDefault="0055792A" w:rsidP="00EE0E52">
      <w:pPr>
        <w:tabs>
          <w:tab w:val="left" w:pos="567"/>
        </w:tabs>
        <w:spacing w:after="0" w:line="240" w:lineRule="auto"/>
        <w:jc w:val="both"/>
        <w:rPr>
          <w:rFonts w:ascii="Times New Roman" w:hAnsi="Times New Roman" w:cs="Times New Roman"/>
          <w:sz w:val="24"/>
          <w:szCs w:val="24"/>
          <w:lang w:val="en-US"/>
        </w:rPr>
      </w:pPr>
      <w:r w:rsidRPr="00EE0E52">
        <w:rPr>
          <w:rFonts w:ascii="Times New Roman" w:hAnsi="Times New Roman" w:cs="Times New Roman"/>
          <w:sz w:val="24"/>
          <w:szCs w:val="24"/>
          <w:lang w:val="en-US"/>
        </w:rPr>
        <w:tab/>
      </w:r>
      <w:r w:rsidR="001A2E20" w:rsidRPr="00EE0E52">
        <w:rPr>
          <w:rFonts w:ascii="Times New Roman" w:hAnsi="Times New Roman" w:cs="Times New Roman"/>
          <w:sz w:val="24"/>
          <w:szCs w:val="24"/>
          <w:lang w:val="en-US"/>
        </w:rPr>
        <w:t xml:space="preserve">Commonwealth developing countries have </w:t>
      </w:r>
      <w:r w:rsidR="005A63DF" w:rsidRPr="00EE0E52">
        <w:rPr>
          <w:rFonts w:ascii="Times New Roman" w:hAnsi="Times New Roman" w:cs="Times New Roman"/>
          <w:sz w:val="24"/>
          <w:szCs w:val="24"/>
          <w:lang w:val="en-US"/>
        </w:rPr>
        <w:t xml:space="preserve">benefitted </w:t>
      </w:r>
      <w:r w:rsidR="001A2E20" w:rsidRPr="00EE0E52">
        <w:rPr>
          <w:rFonts w:ascii="Times New Roman" w:hAnsi="Times New Roman" w:cs="Times New Roman"/>
          <w:sz w:val="24"/>
          <w:szCs w:val="24"/>
          <w:lang w:val="en-US"/>
        </w:rPr>
        <w:t>from the range of shock facilities provided by IFIs since the crisis erupted in 2008. The paper briefly assess</w:t>
      </w:r>
      <w:r w:rsidR="001E2172" w:rsidRPr="00EE0E52">
        <w:rPr>
          <w:rFonts w:ascii="Times New Roman" w:hAnsi="Times New Roman" w:cs="Times New Roman"/>
          <w:sz w:val="24"/>
          <w:szCs w:val="24"/>
          <w:lang w:val="en-US"/>
        </w:rPr>
        <w:t>es</w:t>
      </w:r>
      <w:r w:rsidR="001A2E20" w:rsidRPr="00EE0E52">
        <w:rPr>
          <w:rFonts w:ascii="Times New Roman" w:hAnsi="Times New Roman" w:cs="Times New Roman"/>
          <w:sz w:val="24"/>
          <w:szCs w:val="24"/>
          <w:lang w:val="en-US"/>
        </w:rPr>
        <w:t xml:space="preserve"> Commonwealth exper</w:t>
      </w:r>
      <w:r w:rsidR="005A63DF" w:rsidRPr="00EE0E52">
        <w:rPr>
          <w:rFonts w:ascii="Times New Roman" w:hAnsi="Times New Roman" w:cs="Times New Roman"/>
          <w:sz w:val="24"/>
          <w:szCs w:val="24"/>
          <w:lang w:val="en-US"/>
        </w:rPr>
        <w:t>ience</w:t>
      </w:r>
      <w:r w:rsidR="001A2E20" w:rsidRPr="00EE0E52">
        <w:rPr>
          <w:rFonts w:ascii="Times New Roman" w:hAnsi="Times New Roman" w:cs="Times New Roman"/>
          <w:sz w:val="24"/>
          <w:szCs w:val="24"/>
          <w:lang w:val="en-US"/>
        </w:rPr>
        <w:t>, in the conte</w:t>
      </w:r>
      <w:r w:rsidR="005A63DF" w:rsidRPr="00EE0E52">
        <w:rPr>
          <w:rFonts w:ascii="Times New Roman" w:hAnsi="Times New Roman" w:cs="Times New Roman"/>
          <w:sz w:val="24"/>
          <w:szCs w:val="24"/>
          <w:lang w:val="en-US"/>
        </w:rPr>
        <w:t>x</w:t>
      </w:r>
      <w:r w:rsidR="001A2E20" w:rsidRPr="00EE0E52">
        <w:rPr>
          <w:rFonts w:ascii="Times New Roman" w:hAnsi="Times New Roman" w:cs="Times New Roman"/>
          <w:sz w:val="24"/>
          <w:szCs w:val="24"/>
          <w:lang w:val="en-US"/>
        </w:rPr>
        <w:t>t of a sample of Com</w:t>
      </w:r>
      <w:r w:rsidR="005A63DF" w:rsidRPr="00EE0E52">
        <w:rPr>
          <w:rFonts w:ascii="Times New Roman" w:hAnsi="Times New Roman" w:cs="Times New Roman"/>
          <w:sz w:val="24"/>
          <w:szCs w:val="24"/>
          <w:lang w:val="en-US"/>
        </w:rPr>
        <w:t>monwealth developing countries</w:t>
      </w:r>
      <w:r w:rsidR="008054F9">
        <w:rPr>
          <w:rFonts w:ascii="Times New Roman" w:hAnsi="Times New Roman" w:cs="Times New Roman"/>
          <w:sz w:val="24"/>
          <w:szCs w:val="24"/>
          <w:lang w:val="en-US"/>
        </w:rPr>
        <w:t>.</w:t>
      </w:r>
      <w:r w:rsidR="005A63DF" w:rsidRPr="00EE0E52">
        <w:rPr>
          <w:rFonts w:ascii="Times New Roman" w:hAnsi="Times New Roman" w:cs="Times New Roman"/>
          <w:sz w:val="24"/>
          <w:szCs w:val="24"/>
          <w:lang w:val="en-US"/>
        </w:rPr>
        <w:t xml:space="preserve"> L</w:t>
      </w:r>
      <w:r w:rsidR="001A2E20" w:rsidRPr="00EE0E52">
        <w:rPr>
          <w:rFonts w:ascii="Times New Roman" w:hAnsi="Times New Roman" w:cs="Times New Roman"/>
          <w:sz w:val="24"/>
          <w:szCs w:val="24"/>
          <w:lang w:val="en-US"/>
        </w:rPr>
        <w:t>essons learned and ensuring recommendations for improvement in international shock facilities are set out.</w:t>
      </w:r>
    </w:p>
    <w:p w:rsidR="001A2E20" w:rsidRPr="00EE0E52" w:rsidRDefault="001A2E20" w:rsidP="00EE0E52">
      <w:pPr>
        <w:tabs>
          <w:tab w:val="left" w:pos="567"/>
        </w:tabs>
        <w:spacing w:after="0" w:line="240" w:lineRule="auto"/>
        <w:jc w:val="both"/>
        <w:rPr>
          <w:rFonts w:ascii="Times New Roman" w:hAnsi="Times New Roman" w:cs="Times New Roman"/>
          <w:sz w:val="24"/>
          <w:szCs w:val="24"/>
          <w:lang w:val="en-US"/>
        </w:rPr>
      </w:pPr>
    </w:p>
    <w:p w:rsidR="001A2E20" w:rsidRPr="00EE0E52" w:rsidRDefault="0055792A" w:rsidP="00EE0E52">
      <w:pPr>
        <w:tabs>
          <w:tab w:val="left" w:pos="567"/>
        </w:tabs>
        <w:spacing w:after="0" w:line="240" w:lineRule="auto"/>
        <w:jc w:val="both"/>
        <w:rPr>
          <w:rFonts w:ascii="Times New Roman" w:hAnsi="Times New Roman" w:cs="Times New Roman"/>
          <w:sz w:val="24"/>
          <w:szCs w:val="24"/>
          <w:lang w:val="en-US"/>
        </w:rPr>
      </w:pPr>
      <w:r w:rsidRPr="00EE0E52">
        <w:rPr>
          <w:rFonts w:ascii="Times New Roman" w:hAnsi="Times New Roman" w:cs="Times New Roman"/>
          <w:sz w:val="24"/>
          <w:szCs w:val="24"/>
          <w:lang w:val="en-US"/>
        </w:rPr>
        <w:tab/>
      </w:r>
      <w:r w:rsidR="001A2E20" w:rsidRPr="00EE0E52">
        <w:rPr>
          <w:rFonts w:ascii="Times New Roman" w:hAnsi="Times New Roman" w:cs="Times New Roman"/>
          <w:sz w:val="24"/>
          <w:szCs w:val="24"/>
          <w:lang w:val="en-US"/>
        </w:rPr>
        <w:t>A</w:t>
      </w:r>
      <w:r w:rsidR="001E2172" w:rsidRPr="00EE0E52">
        <w:rPr>
          <w:rFonts w:ascii="Times New Roman" w:hAnsi="Times New Roman" w:cs="Times New Roman"/>
          <w:sz w:val="24"/>
          <w:szCs w:val="24"/>
          <w:lang w:val="en-US"/>
        </w:rPr>
        <w:t xml:space="preserve"> </w:t>
      </w:r>
      <w:r w:rsidR="001A2E20" w:rsidRPr="00EE0E52">
        <w:rPr>
          <w:rFonts w:ascii="Times New Roman" w:hAnsi="Times New Roman" w:cs="Times New Roman"/>
          <w:sz w:val="24"/>
          <w:szCs w:val="24"/>
          <w:lang w:val="en-US"/>
        </w:rPr>
        <w:t xml:space="preserve">new medium-term challenge is also emerging, which could truncate developing country access to IMF concessional resources. There is a strong risk that in the absence of early action, the subsidy element of the Poverty Reduction and Growth Trust (PRGT) may not be adequately funded, resulting inter alia in a significant reduction in IMF concessional financing for external shocks. The Commonwealth is well placed to mobilise support for replenishment of this element of </w:t>
      </w:r>
      <w:r w:rsidR="006A618E" w:rsidRPr="00EE0E52">
        <w:rPr>
          <w:rFonts w:ascii="Times New Roman" w:hAnsi="Times New Roman" w:cs="Times New Roman"/>
          <w:sz w:val="24"/>
          <w:szCs w:val="24"/>
          <w:lang w:val="en-US"/>
        </w:rPr>
        <w:t xml:space="preserve">the PRGT. Key approaches and proposals are proposed and </w:t>
      </w:r>
      <w:r w:rsidR="00B15D61" w:rsidRPr="00EE0E52">
        <w:rPr>
          <w:rFonts w:ascii="Times New Roman" w:hAnsi="Times New Roman" w:cs="Times New Roman"/>
          <w:sz w:val="24"/>
          <w:szCs w:val="24"/>
          <w:lang w:val="en-US"/>
        </w:rPr>
        <w:t xml:space="preserve">Ministers </w:t>
      </w:r>
      <w:r w:rsidR="006A618E" w:rsidRPr="00EE0E52">
        <w:rPr>
          <w:rFonts w:ascii="Times New Roman" w:hAnsi="Times New Roman" w:cs="Times New Roman"/>
          <w:sz w:val="24"/>
          <w:szCs w:val="24"/>
          <w:lang w:val="en-US"/>
        </w:rPr>
        <w:t>are asked their views on them.</w:t>
      </w:r>
    </w:p>
    <w:p w:rsidR="006A618E" w:rsidRPr="00EE0E52" w:rsidRDefault="006A618E" w:rsidP="00EE0E52">
      <w:pPr>
        <w:tabs>
          <w:tab w:val="left" w:pos="567"/>
        </w:tabs>
        <w:spacing w:after="0" w:line="240" w:lineRule="auto"/>
        <w:jc w:val="both"/>
        <w:rPr>
          <w:rFonts w:ascii="Times New Roman" w:hAnsi="Times New Roman" w:cs="Times New Roman"/>
          <w:sz w:val="24"/>
          <w:szCs w:val="24"/>
          <w:lang w:val="en-US"/>
        </w:rPr>
      </w:pPr>
    </w:p>
    <w:p w:rsidR="006A618E" w:rsidRPr="00EE0E52" w:rsidRDefault="0055792A" w:rsidP="00EE0E52">
      <w:pPr>
        <w:tabs>
          <w:tab w:val="left" w:pos="567"/>
        </w:tabs>
        <w:spacing w:after="0" w:line="240" w:lineRule="auto"/>
        <w:jc w:val="both"/>
        <w:rPr>
          <w:rFonts w:ascii="Times New Roman" w:hAnsi="Times New Roman" w:cs="Times New Roman"/>
          <w:sz w:val="24"/>
          <w:szCs w:val="24"/>
          <w:lang w:val="en-US"/>
        </w:rPr>
      </w:pPr>
      <w:r w:rsidRPr="00EE0E52">
        <w:rPr>
          <w:rFonts w:ascii="Times New Roman" w:hAnsi="Times New Roman" w:cs="Times New Roman"/>
          <w:sz w:val="24"/>
          <w:szCs w:val="24"/>
          <w:lang w:val="en-US"/>
        </w:rPr>
        <w:tab/>
      </w:r>
      <w:r w:rsidR="006A618E" w:rsidRPr="00EE0E52">
        <w:rPr>
          <w:rFonts w:ascii="Times New Roman" w:hAnsi="Times New Roman" w:cs="Times New Roman"/>
          <w:sz w:val="24"/>
          <w:szCs w:val="24"/>
          <w:lang w:val="en-US"/>
        </w:rPr>
        <w:t xml:space="preserve">Text boxes </w:t>
      </w:r>
      <w:r w:rsidR="004D7C44" w:rsidRPr="00EE0E52">
        <w:rPr>
          <w:rFonts w:ascii="Times New Roman" w:hAnsi="Times New Roman" w:cs="Times New Roman"/>
          <w:sz w:val="24"/>
          <w:szCs w:val="24"/>
          <w:lang w:val="en-US"/>
        </w:rPr>
        <w:t>summaris</w:t>
      </w:r>
      <w:r w:rsidR="006A618E" w:rsidRPr="00EE0E52">
        <w:rPr>
          <w:rFonts w:ascii="Times New Roman" w:hAnsi="Times New Roman" w:cs="Times New Roman"/>
          <w:sz w:val="24"/>
          <w:szCs w:val="24"/>
          <w:lang w:val="en-US"/>
        </w:rPr>
        <w:t xml:space="preserve">ing key issues and posing key questions and issues for </w:t>
      </w:r>
      <w:r w:rsidR="00B15D61" w:rsidRPr="00EE0E52">
        <w:rPr>
          <w:rFonts w:ascii="Times New Roman" w:hAnsi="Times New Roman" w:cs="Times New Roman"/>
          <w:sz w:val="24"/>
          <w:szCs w:val="24"/>
          <w:lang w:val="en-US"/>
        </w:rPr>
        <w:t xml:space="preserve">Ministerial </w:t>
      </w:r>
      <w:r w:rsidR="006A618E" w:rsidRPr="00EE0E52">
        <w:rPr>
          <w:rFonts w:ascii="Times New Roman" w:hAnsi="Times New Roman" w:cs="Times New Roman"/>
          <w:sz w:val="24"/>
          <w:szCs w:val="24"/>
          <w:lang w:val="en-US"/>
        </w:rPr>
        <w:t>discussions are set out throughout this paper. Ministers are asked to consider what specific steps can be taken by the Commonwealth as a whole to contribute to improvement in shock facilities</w:t>
      </w:r>
      <w:r w:rsidR="00B15D61" w:rsidRPr="00EE0E52">
        <w:rPr>
          <w:rFonts w:ascii="Times New Roman" w:hAnsi="Times New Roman" w:cs="Times New Roman"/>
          <w:sz w:val="24"/>
          <w:szCs w:val="24"/>
          <w:lang w:val="en-US"/>
        </w:rPr>
        <w:t>;</w:t>
      </w:r>
      <w:r w:rsidR="006A618E" w:rsidRPr="00EE0E52">
        <w:rPr>
          <w:rFonts w:ascii="Times New Roman" w:hAnsi="Times New Roman" w:cs="Times New Roman"/>
          <w:sz w:val="24"/>
          <w:szCs w:val="24"/>
          <w:lang w:val="en-US"/>
        </w:rPr>
        <w:t xml:space="preserve"> and to indicate what role the Secretariat can play in promoting members efforts.</w:t>
      </w:r>
    </w:p>
    <w:p w:rsidR="006A618E" w:rsidRDefault="006A618E" w:rsidP="00EE0E52">
      <w:pPr>
        <w:spacing w:after="0" w:line="240" w:lineRule="auto"/>
        <w:jc w:val="both"/>
        <w:rPr>
          <w:rFonts w:ascii="Times New Roman" w:hAnsi="Times New Roman" w:cs="Times New Roman"/>
          <w:lang w:val="en-US"/>
        </w:rPr>
      </w:pPr>
    </w:p>
    <w:p w:rsidR="000F2420" w:rsidRDefault="000F2420" w:rsidP="003B0187">
      <w:pPr>
        <w:ind w:right="288"/>
        <w:jc w:val="center"/>
        <w:rPr>
          <w:rFonts w:ascii="Times New Roman" w:hAnsi="Times New Roman" w:cs="Times New Roman"/>
          <w:b/>
          <w:sz w:val="28"/>
          <w:szCs w:val="28"/>
        </w:rPr>
        <w:sectPr w:rsidR="000F2420" w:rsidSect="007F6CE2">
          <w:pgSz w:w="11907" w:h="16839" w:code="9"/>
          <w:pgMar w:top="1440" w:right="1440" w:bottom="1440" w:left="1440" w:header="708" w:footer="708" w:gutter="0"/>
          <w:pgNumType w:start="1"/>
          <w:cols w:space="708"/>
          <w:titlePg/>
          <w:docGrid w:linePitch="360"/>
        </w:sectPr>
      </w:pPr>
    </w:p>
    <w:p w:rsidR="003B0187" w:rsidRPr="00B04A17" w:rsidRDefault="003B0187" w:rsidP="00F93037">
      <w:pPr>
        <w:ind w:right="288"/>
        <w:rPr>
          <w:rFonts w:ascii="Times New Roman" w:hAnsi="Times New Roman" w:cs="Times New Roman"/>
          <w:b/>
          <w:sz w:val="28"/>
          <w:szCs w:val="28"/>
        </w:rPr>
      </w:pPr>
      <w:r w:rsidRPr="00B04A17">
        <w:rPr>
          <w:rFonts w:ascii="Times New Roman" w:hAnsi="Times New Roman" w:cs="Times New Roman"/>
          <w:b/>
          <w:sz w:val="28"/>
          <w:szCs w:val="28"/>
        </w:rPr>
        <w:lastRenderedPageBreak/>
        <w:t>Exogenous Shocks – Dealing with the Only Certainty: Uncertainty</w:t>
      </w:r>
    </w:p>
    <w:p w:rsidR="00F57F66" w:rsidRDefault="00F57F66">
      <w:pPr>
        <w:rPr>
          <w:rFonts w:cstheme="minorHAnsi"/>
          <w:b/>
          <w:sz w:val="44"/>
          <w:szCs w:val="44"/>
        </w:rPr>
        <w:sectPr w:rsidR="00F57F66" w:rsidSect="000F2420">
          <w:pgSz w:w="11907" w:h="16839" w:code="9"/>
          <w:pgMar w:top="1440" w:right="1440" w:bottom="1440" w:left="1440" w:header="708" w:footer="708" w:gutter="0"/>
          <w:pgNumType w:start="1"/>
          <w:cols w:space="708"/>
          <w:titlePg/>
          <w:docGrid w:linePitch="360"/>
        </w:sectPr>
      </w:pPr>
    </w:p>
    <w:p w:rsidR="00B05B32" w:rsidRDefault="00B05B32" w:rsidP="00B04A17">
      <w:pPr>
        <w:pStyle w:val="Heading1"/>
        <w:spacing w:before="0" w:beforeAutospacing="0" w:after="0" w:afterAutospacing="0"/>
        <w:rPr>
          <w:sz w:val="24"/>
          <w:szCs w:val="24"/>
        </w:rPr>
      </w:pPr>
    </w:p>
    <w:p w:rsidR="00AF68C7" w:rsidRDefault="00AF68C7" w:rsidP="00B04A17">
      <w:pPr>
        <w:pStyle w:val="Heading1"/>
        <w:spacing w:before="0" w:beforeAutospacing="0" w:after="0" w:afterAutospacing="0"/>
        <w:rPr>
          <w:sz w:val="24"/>
          <w:szCs w:val="24"/>
        </w:rPr>
      </w:pPr>
      <w:r w:rsidRPr="00B04A17">
        <w:rPr>
          <w:sz w:val="24"/>
          <w:szCs w:val="24"/>
        </w:rPr>
        <w:t>Introduction</w:t>
      </w:r>
    </w:p>
    <w:p w:rsidR="00294219" w:rsidRPr="00B04A17" w:rsidRDefault="00294219" w:rsidP="00B04A17">
      <w:pPr>
        <w:pStyle w:val="Heading1"/>
        <w:spacing w:before="0" w:beforeAutospacing="0" w:after="0" w:afterAutospacing="0"/>
        <w:rPr>
          <w:sz w:val="24"/>
          <w:szCs w:val="24"/>
        </w:rPr>
      </w:pPr>
    </w:p>
    <w:p w:rsidR="00CD5EE6" w:rsidRDefault="00E62C7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 recent years and particularly since the 2008 global financial crisis </w:t>
      </w:r>
      <w:r w:rsidR="003B0187">
        <w:rPr>
          <w:rFonts w:ascii="Times New Roman" w:hAnsi="Times New Roman" w:cs="Times New Roman"/>
          <w:sz w:val="24"/>
          <w:szCs w:val="24"/>
        </w:rPr>
        <w:t xml:space="preserve">Ministers </w:t>
      </w:r>
      <w:r>
        <w:rPr>
          <w:rFonts w:ascii="Times New Roman" w:hAnsi="Times New Roman" w:cs="Times New Roman"/>
          <w:sz w:val="24"/>
          <w:szCs w:val="24"/>
        </w:rPr>
        <w:t xml:space="preserve">have used the opportunity of their annual Commonwealth Finance Ministers Meeting (CFMM) to discuss a series of issues spurred by the </w:t>
      </w:r>
      <w:r w:rsidR="0024405E">
        <w:rPr>
          <w:rFonts w:ascii="Times New Roman" w:hAnsi="Times New Roman" w:cs="Times New Roman"/>
          <w:sz w:val="24"/>
          <w:szCs w:val="24"/>
        </w:rPr>
        <w:t xml:space="preserve">sudden </w:t>
      </w:r>
      <w:r>
        <w:rPr>
          <w:rFonts w:ascii="Times New Roman" w:hAnsi="Times New Roman" w:cs="Times New Roman"/>
          <w:sz w:val="24"/>
          <w:szCs w:val="24"/>
        </w:rPr>
        <w:t xml:space="preserve">emergence of the </w:t>
      </w:r>
      <w:r w:rsidR="00AE0094">
        <w:rPr>
          <w:rFonts w:ascii="Times New Roman" w:hAnsi="Times New Roman" w:cs="Times New Roman"/>
          <w:sz w:val="24"/>
          <w:szCs w:val="24"/>
        </w:rPr>
        <w:t xml:space="preserve">global </w:t>
      </w:r>
      <w:r>
        <w:rPr>
          <w:rFonts w:ascii="Times New Roman" w:hAnsi="Times New Roman" w:cs="Times New Roman"/>
          <w:sz w:val="24"/>
          <w:szCs w:val="24"/>
        </w:rPr>
        <w:t xml:space="preserve">crisis. </w:t>
      </w:r>
      <w:r w:rsidR="00EB4C78">
        <w:rPr>
          <w:rFonts w:ascii="Times New Roman" w:hAnsi="Times New Roman" w:cs="Times New Roman"/>
          <w:sz w:val="24"/>
          <w:szCs w:val="24"/>
        </w:rPr>
        <w:t xml:space="preserve">These have included discussion on how best to </w:t>
      </w:r>
      <w:r>
        <w:rPr>
          <w:rFonts w:ascii="Times New Roman" w:hAnsi="Times New Roman" w:cs="Times New Roman"/>
          <w:sz w:val="24"/>
          <w:szCs w:val="24"/>
        </w:rPr>
        <w:t>meet the challenge of higher food and energy prices</w:t>
      </w:r>
      <w:r w:rsidR="00EB4C78">
        <w:rPr>
          <w:rFonts w:ascii="Times New Roman" w:hAnsi="Times New Roman" w:cs="Times New Roman"/>
          <w:sz w:val="24"/>
          <w:szCs w:val="24"/>
        </w:rPr>
        <w:t xml:space="preserve"> (CFMM 2008); a wide-ranging policy dialogue focusing on </w:t>
      </w:r>
      <w:r w:rsidR="00AE0094">
        <w:rPr>
          <w:rFonts w:ascii="Times New Roman" w:hAnsi="Times New Roman" w:cs="Times New Roman"/>
          <w:sz w:val="24"/>
          <w:szCs w:val="24"/>
        </w:rPr>
        <w:t xml:space="preserve">how </w:t>
      </w:r>
      <w:r w:rsidR="003B0187">
        <w:rPr>
          <w:rFonts w:ascii="Times New Roman" w:hAnsi="Times New Roman" w:cs="Times New Roman"/>
          <w:sz w:val="24"/>
          <w:szCs w:val="24"/>
        </w:rPr>
        <w:t xml:space="preserve">Commonwealth </w:t>
      </w:r>
      <w:r w:rsidR="00AE0094">
        <w:rPr>
          <w:rFonts w:ascii="Times New Roman" w:hAnsi="Times New Roman" w:cs="Times New Roman"/>
          <w:sz w:val="24"/>
          <w:szCs w:val="24"/>
        </w:rPr>
        <w:t xml:space="preserve">members can </w:t>
      </w:r>
      <w:r w:rsidR="003B0187">
        <w:rPr>
          <w:rFonts w:ascii="Times New Roman" w:hAnsi="Times New Roman" w:cs="Times New Roman"/>
          <w:sz w:val="24"/>
          <w:szCs w:val="24"/>
        </w:rPr>
        <w:t xml:space="preserve">best </w:t>
      </w:r>
      <w:r w:rsidR="00AE0094">
        <w:rPr>
          <w:rFonts w:ascii="Times New Roman" w:hAnsi="Times New Roman" w:cs="Times New Roman"/>
          <w:sz w:val="24"/>
          <w:szCs w:val="24"/>
        </w:rPr>
        <w:t>address</w:t>
      </w:r>
      <w:r w:rsidR="0024405E">
        <w:rPr>
          <w:rFonts w:ascii="Times New Roman" w:hAnsi="Times New Roman" w:cs="Times New Roman"/>
          <w:sz w:val="24"/>
          <w:szCs w:val="24"/>
        </w:rPr>
        <w:t xml:space="preserve"> unexpectedly large </w:t>
      </w:r>
      <w:r>
        <w:rPr>
          <w:rFonts w:ascii="Times New Roman" w:hAnsi="Times New Roman" w:cs="Times New Roman"/>
          <w:sz w:val="24"/>
          <w:szCs w:val="24"/>
        </w:rPr>
        <w:t>deteriorat</w:t>
      </w:r>
      <w:r w:rsidR="0024405E">
        <w:rPr>
          <w:rFonts w:ascii="Times New Roman" w:hAnsi="Times New Roman" w:cs="Times New Roman"/>
          <w:sz w:val="24"/>
          <w:szCs w:val="24"/>
        </w:rPr>
        <w:t xml:space="preserve">ions in </w:t>
      </w:r>
      <w:r>
        <w:rPr>
          <w:rFonts w:ascii="Times New Roman" w:hAnsi="Times New Roman" w:cs="Times New Roman"/>
          <w:sz w:val="24"/>
          <w:szCs w:val="24"/>
        </w:rPr>
        <w:t xml:space="preserve">levels of </w:t>
      </w:r>
      <w:r w:rsidR="00EB4C78">
        <w:rPr>
          <w:rFonts w:ascii="Times New Roman" w:hAnsi="Times New Roman" w:cs="Times New Roman"/>
          <w:sz w:val="24"/>
          <w:szCs w:val="24"/>
        </w:rPr>
        <w:t xml:space="preserve">investment, </w:t>
      </w:r>
      <w:r>
        <w:rPr>
          <w:rFonts w:ascii="Times New Roman" w:hAnsi="Times New Roman" w:cs="Times New Roman"/>
          <w:sz w:val="24"/>
          <w:szCs w:val="24"/>
        </w:rPr>
        <w:t xml:space="preserve">remittances, </w:t>
      </w:r>
      <w:r w:rsidR="00EB4C78">
        <w:rPr>
          <w:rFonts w:ascii="Times New Roman" w:hAnsi="Times New Roman" w:cs="Times New Roman"/>
          <w:sz w:val="24"/>
          <w:szCs w:val="24"/>
        </w:rPr>
        <w:t xml:space="preserve">access to finance for development, </w:t>
      </w:r>
      <w:r>
        <w:rPr>
          <w:rFonts w:ascii="Times New Roman" w:hAnsi="Times New Roman" w:cs="Times New Roman"/>
          <w:sz w:val="24"/>
          <w:szCs w:val="24"/>
        </w:rPr>
        <w:t>reserves, employment, as well as weaker social protection systems</w:t>
      </w:r>
      <w:r w:rsidR="00EB4C78">
        <w:rPr>
          <w:rFonts w:ascii="Times New Roman" w:hAnsi="Times New Roman" w:cs="Times New Roman"/>
          <w:sz w:val="24"/>
          <w:szCs w:val="24"/>
        </w:rPr>
        <w:t xml:space="preserve"> (CFMM 2009); </w:t>
      </w:r>
      <w:r>
        <w:rPr>
          <w:rFonts w:ascii="Times New Roman" w:hAnsi="Times New Roman" w:cs="Times New Roman"/>
          <w:sz w:val="24"/>
          <w:szCs w:val="24"/>
        </w:rPr>
        <w:t xml:space="preserve">the </w:t>
      </w:r>
      <w:r w:rsidR="0024405E">
        <w:rPr>
          <w:rFonts w:ascii="Times New Roman" w:hAnsi="Times New Roman" w:cs="Times New Roman"/>
          <w:sz w:val="24"/>
          <w:szCs w:val="24"/>
        </w:rPr>
        <w:t xml:space="preserve">rapid </w:t>
      </w:r>
      <w:r>
        <w:rPr>
          <w:rFonts w:ascii="Times New Roman" w:hAnsi="Times New Roman" w:cs="Times New Roman"/>
          <w:sz w:val="24"/>
          <w:szCs w:val="24"/>
        </w:rPr>
        <w:t>emerg</w:t>
      </w:r>
      <w:r w:rsidR="0024405E">
        <w:rPr>
          <w:rFonts w:ascii="Times New Roman" w:hAnsi="Times New Roman" w:cs="Times New Roman"/>
          <w:sz w:val="24"/>
          <w:szCs w:val="24"/>
        </w:rPr>
        <w:t xml:space="preserve">ence of </w:t>
      </w:r>
      <w:r>
        <w:rPr>
          <w:rFonts w:ascii="Times New Roman" w:hAnsi="Times New Roman" w:cs="Times New Roman"/>
          <w:sz w:val="24"/>
          <w:szCs w:val="24"/>
        </w:rPr>
        <w:t>debt challenges of small and vulnerable Commonwealth members</w:t>
      </w:r>
      <w:r w:rsidR="00EB4C78">
        <w:rPr>
          <w:rFonts w:ascii="Times New Roman" w:hAnsi="Times New Roman" w:cs="Times New Roman"/>
          <w:sz w:val="24"/>
          <w:szCs w:val="24"/>
        </w:rPr>
        <w:t xml:space="preserve"> (CFMM 2010)</w:t>
      </w:r>
      <w:r w:rsidR="00CD5EE6">
        <w:rPr>
          <w:rFonts w:ascii="Times New Roman" w:hAnsi="Times New Roman" w:cs="Times New Roman"/>
          <w:sz w:val="24"/>
          <w:szCs w:val="24"/>
        </w:rPr>
        <w:t>;</w:t>
      </w:r>
      <w:r w:rsidR="00EB4C78">
        <w:rPr>
          <w:rFonts w:ascii="Times New Roman" w:hAnsi="Times New Roman" w:cs="Times New Roman"/>
          <w:sz w:val="24"/>
          <w:szCs w:val="24"/>
        </w:rPr>
        <w:t xml:space="preserve"> and </w:t>
      </w:r>
      <w:r>
        <w:rPr>
          <w:rFonts w:ascii="Times New Roman" w:hAnsi="Times New Roman" w:cs="Times New Roman"/>
          <w:sz w:val="24"/>
          <w:szCs w:val="24"/>
        </w:rPr>
        <w:t>options bo</w:t>
      </w:r>
      <w:r w:rsidR="00EB4C78">
        <w:rPr>
          <w:rFonts w:ascii="Times New Roman" w:hAnsi="Times New Roman" w:cs="Times New Roman"/>
          <w:sz w:val="24"/>
          <w:szCs w:val="24"/>
        </w:rPr>
        <w:t>th to deliver and utilise aid more effectively a</w:t>
      </w:r>
      <w:r w:rsidR="00CD5EE6">
        <w:rPr>
          <w:rFonts w:ascii="Times New Roman" w:hAnsi="Times New Roman" w:cs="Times New Roman"/>
          <w:sz w:val="24"/>
          <w:szCs w:val="24"/>
        </w:rPr>
        <w:t xml:space="preserve">s well as </w:t>
      </w:r>
      <w:r>
        <w:rPr>
          <w:rFonts w:ascii="Times New Roman" w:hAnsi="Times New Roman" w:cs="Times New Roman"/>
          <w:sz w:val="24"/>
          <w:szCs w:val="24"/>
        </w:rPr>
        <w:t>to mobilise innovative finance for development</w:t>
      </w:r>
      <w:r w:rsidR="00CD5EE6">
        <w:rPr>
          <w:rFonts w:ascii="Times New Roman" w:hAnsi="Times New Roman" w:cs="Times New Roman"/>
          <w:sz w:val="24"/>
          <w:szCs w:val="24"/>
        </w:rPr>
        <w:t xml:space="preserve"> (CFMM 2011).</w:t>
      </w:r>
      <w:r w:rsidR="00AE0094">
        <w:rPr>
          <w:rFonts w:ascii="Times New Roman" w:hAnsi="Times New Roman" w:cs="Times New Roman"/>
          <w:sz w:val="24"/>
          <w:szCs w:val="24"/>
        </w:rPr>
        <w:t xml:space="preserve"> </w:t>
      </w:r>
    </w:p>
    <w:p w:rsidR="00CD5EE6" w:rsidRDefault="00CD5EE6" w:rsidP="00B04A17">
      <w:pPr>
        <w:autoSpaceDE w:val="0"/>
        <w:autoSpaceDN w:val="0"/>
        <w:adjustRightInd w:val="0"/>
        <w:spacing w:after="0" w:line="240" w:lineRule="auto"/>
        <w:jc w:val="both"/>
        <w:rPr>
          <w:rFonts w:ascii="Times New Roman" w:hAnsi="Times New Roman" w:cs="Times New Roman"/>
          <w:sz w:val="24"/>
          <w:szCs w:val="24"/>
        </w:rPr>
      </w:pPr>
    </w:p>
    <w:p w:rsidR="0024405E" w:rsidRPr="00B04A17" w:rsidRDefault="00EB4C78" w:rsidP="00B04A17">
      <w:pPr>
        <w:pStyle w:val="ListParagraph"/>
        <w:numPr>
          <w:ilvl w:val="0"/>
          <w:numId w:val="16"/>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04A17">
        <w:rPr>
          <w:rFonts w:ascii="Times New Roman" w:hAnsi="Times New Roman" w:cs="Times New Roman"/>
          <w:sz w:val="24"/>
          <w:szCs w:val="24"/>
        </w:rPr>
        <w:t xml:space="preserve">A common </w:t>
      </w:r>
      <w:r w:rsidR="003B0187">
        <w:rPr>
          <w:rFonts w:ascii="Times New Roman" w:hAnsi="Times New Roman" w:cs="Times New Roman"/>
          <w:sz w:val="24"/>
          <w:szCs w:val="24"/>
        </w:rPr>
        <w:t xml:space="preserve">and inter-twined </w:t>
      </w:r>
      <w:r w:rsidRPr="00B04A17">
        <w:rPr>
          <w:rFonts w:ascii="Times New Roman" w:hAnsi="Times New Roman" w:cs="Times New Roman"/>
          <w:sz w:val="24"/>
          <w:szCs w:val="24"/>
        </w:rPr>
        <w:t xml:space="preserve">thread running through these </w:t>
      </w:r>
      <w:r w:rsidR="008623E6" w:rsidRPr="00B04A17">
        <w:rPr>
          <w:rFonts w:ascii="Times New Roman" w:hAnsi="Times New Roman" w:cs="Times New Roman"/>
          <w:sz w:val="24"/>
          <w:szCs w:val="24"/>
        </w:rPr>
        <w:t xml:space="preserve">recent </w:t>
      </w:r>
      <w:r w:rsidR="00CD5EE6" w:rsidRPr="00466637">
        <w:rPr>
          <w:rFonts w:ascii="Times New Roman" w:hAnsi="Times New Roman" w:cs="Times New Roman"/>
          <w:sz w:val="24"/>
          <w:szCs w:val="24"/>
        </w:rPr>
        <w:t xml:space="preserve">Commonwealth Ministerial </w:t>
      </w:r>
      <w:r w:rsidRPr="00B04A17">
        <w:rPr>
          <w:rFonts w:ascii="Times New Roman" w:hAnsi="Times New Roman" w:cs="Times New Roman"/>
          <w:sz w:val="24"/>
          <w:szCs w:val="24"/>
        </w:rPr>
        <w:t xml:space="preserve">discussions has been </w:t>
      </w:r>
      <w:r w:rsidR="003B0187">
        <w:rPr>
          <w:rFonts w:ascii="Times New Roman" w:hAnsi="Times New Roman" w:cs="Times New Roman"/>
          <w:sz w:val="24"/>
          <w:szCs w:val="24"/>
        </w:rPr>
        <w:t xml:space="preserve">both </w:t>
      </w:r>
      <w:r w:rsidR="00CD5EE6" w:rsidRPr="00B04A17">
        <w:rPr>
          <w:rFonts w:ascii="Times New Roman" w:hAnsi="Times New Roman" w:cs="Times New Roman"/>
          <w:sz w:val="24"/>
          <w:szCs w:val="24"/>
        </w:rPr>
        <w:t>a</w:t>
      </w:r>
      <w:r w:rsidR="00CD5EE6" w:rsidRPr="00466637">
        <w:rPr>
          <w:rFonts w:ascii="Times New Roman" w:hAnsi="Times New Roman" w:cs="Times New Roman"/>
          <w:sz w:val="24"/>
          <w:szCs w:val="24"/>
        </w:rPr>
        <w:t xml:space="preserve">n </w:t>
      </w:r>
      <w:r w:rsidR="00A154A1" w:rsidRPr="00466637">
        <w:rPr>
          <w:rFonts w:ascii="Times New Roman" w:hAnsi="Times New Roman" w:cs="Times New Roman"/>
          <w:sz w:val="24"/>
          <w:szCs w:val="24"/>
        </w:rPr>
        <w:t>on-going</w:t>
      </w:r>
      <w:r w:rsidR="00CD5EE6" w:rsidRPr="00466637">
        <w:rPr>
          <w:rFonts w:ascii="Times New Roman" w:hAnsi="Times New Roman" w:cs="Times New Roman"/>
          <w:sz w:val="24"/>
          <w:szCs w:val="24"/>
        </w:rPr>
        <w:t xml:space="preserve"> </w:t>
      </w:r>
      <w:r w:rsidR="00CD5EE6" w:rsidRPr="00A154A1">
        <w:rPr>
          <w:rFonts w:ascii="Times New Roman" w:hAnsi="Times New Roman" w:cs="Times New Roman"/>
          <w:sz w:val="24"/>
          <w:szCs w:val="24"/>
        </w:rPr>
        <w:t>s</w:t>
      </w:r>
      <w:r w:rsidRPr="00B04A17">
        <w:rPr>
          <w:rFonts w:ascii="Times New Roman" w:hAnsi="Times New Roman" w:cs="Times New Roman"/>
          <w:sz w:val="24"/>
          <w:szCs w:val="24"/>
        </w:rPr>
        <w:t>ense of uncertainty</w:t>
      </w:r>
      <w:r w:rsidR="0024405E" w:rsidRPr="00B04A17">
        <w:rPr>
          <w:rFonts w:ascii="Times New Roman" w:hAnsi="Times New Roman" w:cs="Times New Roman"/>
          <w:sz w:val="24"/>
          <w:szCs w:val="24"/>
        </w:rPr>
        <w:t xml:space="preserve"> and a lack of resilience capacity to external shocks</w:t>
      </w:r>
      <w:r w:rsidR="009672D9" w:rsidRPr="00B04A17">
        <w:rPr>
          <w:rFonts w:ascii="Times New Roman" w:hAnsi="Times New Roman" w:cs="Times New Roman"/>
          <w:sz w:val="24"/>
          <w:szCs w:val="24"/>
        </w:rPr>
        <w:t xml:space="preserve">. </w:t>
      </w:r>
      <w:r w:rsidR="003B0187">
        <w:rPr>
          <w:rFonts w:ascii="Times New Roman" w:hAnsi="Times New Roman" w:cs="Times New Roman"/>
          <w:sz w:val="24"/>
          <w:szCs w:val="24"/>
        </w:rPr>
        <w:t>Ministers have grappled with the challenge of u</w:t>
      </w:r>
      <w:r w:rsidR="009672D9" w:rsidRPr="00B04A17">
        <w:rPr>
          <w:rFonts w:ascii="Times New Roman" w:hAnsi="Times New Roman" w:cs="Times New Roman"/>
          <w:sz w:val="24"/>
          <w:szCs w:val="24"/>
        </w:rPr>
        <w:t>ncertainty</w:t>
      </w:r>
      <w:r w:rsidRPr="00B04A17">
        <w:rPr>
          <w:rFonts w:ascii="Times New Roman" w:hAnsi="Times New Roman" w:cs="Times New Roman"/>
          <w:sz w:val="24"/>
          <w:szCs w:val="24"/>
        </w:rPr>
        <w:t xml:space="preserve"> about the future trajectory of the global economy</w:t>
      </w:r>
      <w:r w:rsidR="003B0187">
        <w:rPr>
          <w:rFonts w:ascii="Times New Roman" w:hAnsi="Times New Roman" w:cs="Times New Roman"/>
          <w:sz w:val="24"/>
          <w:szCs w:val="24"/>
        </w:rPr>
        <w:t xml:space="preserve"> and </w:t>
      </w:r>
      <w:r w:rsidR="00CD5EE6" w:rsidRPr="00B04A17">
        <w:rPr>
          <w:rFonts w:ascii="Times New Roman" w:hAnsi="Times New Roman" w:cs="Times New Roman"/>
          <w:sz w:val="24"/>
          <w:szCs w:val="24"/>
        </w:rPr>
        <w:t xml:space="preserve"> </w:t>
      </w:r>
      <w:r w:rsidRPr="00B04A17">
        <w:rPr>
          <w:rFonts w:ascii="Times New Roman" w:hAnsi="Times New Roman" w:cs="Times New Roman"/>
          <w:sz w:val="24"/>
          <w:szCs w:val="24"/>
        </w:rPr>
        <w:t xml:space="preserve">the international policy responses required to enable countries, particularly the poorest, smallest and most vulnerable Commonwealth members to respond to external </w:t>
      </w:r>
      <w:r w:rsidR="0024405E" w:rsidRPr="00B04A17">
        <w:rPr>
          <w:rFonts w:ascii="Times New Roman" w:hAnsi="Times New Roman" w:cs="Times New Roman"/>
          <w:sz w:val="24"/>
          <w:szCs w:val="24"/>
        </w:rPr>
        <w:t>shocks</w:t>
      </w:r>
      <w:r w:rsidR="008623E6" w:rsidRPr="00B04A17">
        <w:rPr>
          <w:rFonts w:ascii="Times New Roman" w:hAnsi="Times New Roman" w:cs="Times New Roman"/>
          <w:sz w:val="24"/>
          <w:szCs w:val="24"/>
        </w:rPr>
        <w:t xml:space="preserve">; uncertainty regarding </w:t>
      </w:r>
      <w:r w:rsidR="00CD5EE6" w:rsidRPr="00B04A17">
        <w:rPr>
          <w:rFonts w:ascii="Times New Roman" w:hAnsi="Times New Roman" w:cs="Times New Roman"/>
          <w:sz w:val="24"/>
          <w:szCs w:val="24"/>
        </w:rPr>
        <w:t xml:space="preserve">the </w:t>
      </w:r>
      <w:r w:rsidR="003B0187">
        <w:rPr>
          <w:rFonts w:ascii="Times New Roman" w:hAnsi="Times New Roman" w:cs="Times New Roman"/>
          <w:sz w:val="24"/>
          <w:szCs w:val="24"/>
        </w:rPr>
        <w:t xml:space="preserve"> financial and institutional capacity </w:t>
      </w:r>
      <w:r w:rsidR="00CD5EE6" w:rsidRPr="00B04A17">
        <w:rPr>
          <w:rFonts w:ascii="Times New Roman" w:hAnsi="Times New Roman" w:cs="Times New Roman"/>
          <w:sz w:val="24"/>
          <w:szCs w:val="24"/>
        </w:rPr>
        <w:t>of these countries to address their vulnerabilitie</w:t>
      </w:r>
      <w:r w:rsidR="008623E6" w:rsidRPr="00B04A17">
        <w:rPr>
          <w:rFonts w:ascii="Times New Roman" w:hAnsi="Times New Roman" w:cs="Times New Roman"/>
          <w:sz w:val="24"/>
          <w:szCs w:val="24"/>
        </w:rPr>
        <w:t>s, rebuild their pre-crisis buffers</w:t>
      </w:r>
      <w:r w:rsidR="00CD5EE6" w:rsidRPr="00B04A17">
        <w:rPr>
          <w:rFonts w:ascii="Times New Roman" w:hAnsi="Times New Roman" w:cs="Times New Roman"/>
          <w:sz w:val="24"/>
          <w:szCs w:val="24"/>
        </w:rPr>
        <w:t xml:space="preserve"> and build</w:t>
      </w:r>
      <w:r w:rsidR="008623E6" w:rsidRPr="00B04A17">
        <w:rPr>
          <w:rFonts w:ascii="Times New Roman" w:hAnsi="Times New Roman" w:cs="Times New Roman"/>
          <w:sz w:val="24"/>
          <w:szCs w:val="24"/>
        </w:rPr>
        <w:t xml:space="preserve"> new capacities for </w:t>
      </w:r>
      <w:r w:rsidR="00CD5EE6" w:rsidRPr="00B04A17">
        <w:rPr>
          <w:rFonts w:ascii="Times New Roman" w:hAnsi="Times New Roman" w:cs="Times New Roman"/>
          <w:sz w:val="24"/>
          <w:szCs w:val="24"/>
        </w:rPr>
        <w:t>resilience</w:t>
      </w:r>
      <w:r w:rsidR="008623E6" w:rsidRPr="00B04A17">
        <w:rPr>
          <w:rFonts w:ascii="Times New Roman" w:hAnsi="Times New Roman" w:cs="Times New Roman"/>
          <w:sz w:val="24"/>
          <w:szCs w:val="24"/>
        </w:rPr>
        <w:t xml:space="preserve"> in the face of persistent crisis</w:t>
      </w:r>
      <w:r w:rsidR="00CD5EE6" w:rsidRPr="00B04A17">
        <w:rPr>
          <w:rFonts w:ascii="Times New Roman" w:hAnsi="Times New Roman" w:cs="Times New Roman"/>
          <w:sz w:val="24"/>
          <w:szCs w:val="24"/>
        </w:rPr>
        <w:t>;</w:t>
      </w:r>
      <w:r w:rsidR="008623E6" w:rsidRPr="00B04A17">
        <w:rPr>
          <w:rFonts w:ascii="Times New Roman" w:hAnsi="Times New Roman" w:cs="Times New Roman"/>
          <w:sz w:val="24"/>
          <w:szCs w:val="24"/>
        </w:rPr>
        <w:t xml:space="preserve"> and</w:t>
      </w:r>
      <w:r w:rsidR="00CD5EE6" w:rsidRPr="00B04A17">
        <w:rPr>
          <w:rFonts w:ascii="Times New Roman" w:hAnsi="Times New Roman" w:cs="Times New Roman"/>
          <w:sz w:val="24"/>
          <w:szCs w:val="24"/>
        </w:rPr>
        <w:t xml:space="preserve"> uncertainty about </w:t>
      </w:r>
      <w:r w:rsidR="00CD5EE6" w:rsidRPr="00466637">
        <w:rPr>
          <w:rFonts w:ascii="Times New Roman" w:hAnsi="Times New Roman" w:cs="Times New Roman"/>
          <w:sz w:val="24"/>
          <w:szCs w:val="24"/>
        </w:rPr>
        <w:t>how</w:t>
      </w:r>
      <w:r w:rsidR="009672D9" w:rsidRPr="00B04A17">
        <w:rPr>
          <w:rFonts w:ascii="Times New Roman" w:hAnsi="Times New Roman" w:cs="Times New Roman"/>
          <w:sz w:val="24"/>
          <w:szCs w:val="24"/>
        </w:rPr>
        <w:t xml:space="preserve"> resources for development</w:t>
      </w:r>
      <w:r w:rsidR="00CD5EE6" w:rsidRPr="00B04A17">
        <w:rPr>
          <w:rFonts w:ascii="Times New Roman" w:hAnsi="Times New Roman" w:cs="Times New Roman"/>
          <w:sz w:val="24"/>
          <w:szCs w:val="24"/>
        </w:rPr>
        <w:t xml:space="preserve"> </w:t>
      </w:r>
      <w:r w:rsidR="00CD5EE6" w:rsidRPr="00466637">
        <w:rPr>
          <w:rFonts w:ascii="Times New Roman" w:hAnsi="Times New Roman" w:cs="Times New Roman"/>
          <w:sz w:val="24"/>
          <w:szCs w:val="24"/>
        </w:rPr>
        <w:t xml:space="preserve">will be secured, on the scale and with the degree of reliability needed to </w:t>
      </w:r>
      <w:r w:rsidR="0024405E" w:rsidRPr="00B04A17">
        <w:rPr>
          <w:rFonts w:ascii="Times New Roman" w:hAnsi="Times New Roman" w:cs="Times New Roman"/>
          <w:sz w:val="24"/>
          <w:szCs w:val="24"/>
        </w:rPr>
        <w:t>absorb new external shocks as they come,</w:t>
      </w:r>
      <w:r w:rsidR="003B0187">
        <w:rPr>
          <w:rFonts w:ascii="Times New Roman" w:hAnsi="Times New Roman" w:cs="Times New Roman"/>
          <w:sz w:val="24"/>
          <w:szCs w:val="24"/>
        </w:rPr>
        <w:t xml:space="preserve"> so enabling these countries </w:t>
      </w:r>
      <w:r w:rsidR="0024405E" w:rsidRPr="00B04A17">
        <w:rPr>
          <w:rFonts w:ascii="Times New Roman" w:hAnsi="Times New Roman" w:cs="Times New Roman"/>
          <w:sz w:val="24"/>
          <w:szCs w:val="24"/>
        </w:rPr>
        <w:t xml:space="preserve"> to eradicate poverty and to </w:t>
      </w:r>
      <w:r w:rsidR="007C2DFE" w:rsidRPr="00B04A17">
        <w:rPr>
          <w:rFonts w:ascii="Times New Roman" w:hAnsi="Times New Roman" w:cs="Times New Roman"/>
          <w:sz w:val="24"/>
          <w:szCs w:val="24"/>
        </w:rPr>
        <w:t>achieve higher levels of grow</w:t>
      </w:r>
      <w:r w:rsidR="0024405E" w:rsidRPr="00466637">
        <w:rPr>
          <w:rFonts w:ascii="Times New Roman" w:hAnsi="Times New Roman" w:cs="Times New Roman"/>
          <w:sz w:val="24"/>
          <w:szCs w:val="24"/>
        </w:rPr>
        <w:t>th and sustainable development.</w:t>
      </w:r>
      <w:r w:rsidR="0032405E" w:rsidRPr="00B04A17">
        <w:rPr>
          <w:rFonts w:ascii="Times New Roman" w:hAnsi="Times New Roman" w:cs="Times New Roman"/>
          <w:sz w:val="24"/>
          <w:szCs w:val="24"/>
        </w:rPr>
        <w:t xml:space="preserve"> For all Commonwealth members, experience in the past five years has clearly shown that external shocks matter</w:t>
      </w:r>
      <w:r w:rsidR="006339F6">
        <w:rPr>
          <w:rFonts w:ascii="Times New Roman" w:hAnsi="Times New Roman" w:cs="Times New Roman"/>
          <w:sz w:val="24"/>
          <w:szCs w:val="24"/>
        </w:rPr>
        <w:t>.</w:t>
      </w:r>
      <w:r w:rsidR="0032405E" w:rsidRPr="00B04A17">
        <w:rPr>
          <w:rFonts w:ascii="Times New Roman" w:hAnsi="Times New Roman" w:cs="Times New Roman"/>
          <w:sz w:val="24"/>
          <w:szCs w:val="24"/>
        </w:rPr>
        <w:t xml:space="preserve"> </w:t>
      </w:r>
      <w:r w:rsidR="006339F6">
        <w:rPr>
          <w:rFonts w:ascii="Times New Roman" w:hAnsi="Times New Roman" w:cs="Times New Roman"/>
          <w:sz w:val="24"/>
          <w:szCs w:val="24"/>
        </w:rPr>
        <w:t>T</w:t>
      </w:r>
      <w:r w:rsidR="0032405E" w:rsidRPr="00B04A17">
        <w:rPr>
          <w:rFonts w:ascii="Times New Roman" w:hAnsi="Times New Roman" w:cs="Times New Roman"/>
          <w:sz w:val="24"/>
          <w:szCs w:val="24"/>
        </w:rPr>
        <w:t>hey can disrupt both short term growth and long term development; they have become more frequent and more damaging, increasingly transcending economic, geographic and political boundaries; and in an increasingly interdependent world these shocks and the uncertainties that underlie them are becoming more quickly transmitted and amplified.</w:t>
      </w:r>
    </w:p>
    <w:p w:rsidR="0024405E" w:rsidRDefault="0024405E" w:rsidP="00B04A17">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B962D3" w:rsidRDefault="006339F6" w:rsidP="005F6851">
      <w:pPr>
        <w:pStyle w:val="ListParagraph"/>
        <w:tabs>
          <w:tab w:val="left" w:pos="567"/>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24405E" w:rsidRPr="0024405E">
        <w:rPr>
          <w:rFonts w:ascii="Times New Roman" w:hAnsi="Times New Roman" w:cs="Times New Roman"/>
          <w:sz w:val="24"/>
          <w:szCs w:val="24"/>
        </w:rPr>
        <w:t xml:space="preserve">At CFMM 2012, Commonwealth Finance Ministers will again meet at a time of </w:t>
      </w:r>
      <w:r w:rsidR="008623E6" w:rsidRPr="0024405E">
        <w:rPr>
          <w:rFonts w:ascii="Times New Roman" w:hAnsi="Times New Roman" w:cs="Times New Roman"/>
          <w:sz w:val="24"/>
          <w:szCs w:val="24"/>
        </w:rPr>
        <w:t xml:space="preserve">profound uncertainty, </w:t>
      </w:r>
      <w:r w:rsidR="0024405E">
        <w:rPr>
          <w:rFonts w:ascii="Times New Roman" w:hAnsi="Times New Roman" w:cs="Times New Roman"/>
          <w:sz w:val="24"/>
          <w:szCs w:val="24"/>
        </w:rPr>
        <w:t xml:space="preserve">on this occasion </w:t>
      </w:r>
      <w:r w:rsidR="008623E6" w:rsidRPr="0024405E">
        <w:rPr>
          <w:rFonts w:ascii="Times New Roman" w:hAnsi="Times New Roman" w:cs="Times New Roman"/>
          <w:sz w:val="24"/>
          <w:szCs w:val="24"/>
        </w:rPr>
        <w:t>brought about by the Eurozone crisis</w:t>
      </w:r>
      <w:r w:rsidR="0024405E">
        <w:rPr>
          <w:rFonts w:ascii="Times New Roman" w:hAnsi="Times New Roman" w:cs="Times New Roman"/>
          <w:sz w:val="24"/>
          <w:szCs w:val="24"/>
        </w:rPr>
        <w:t xml:space="preserve">, </w:t>
      </w:r>
      <w:r w:rsidR="008623E6" w:rsidRPr="0024405E">
        <w:rPr>
          <w:rFonts w:ascii="Times New Roman" w:hAnsi="Times New Roman" w:cs="Times New Roman"/>
          <w:sz w:val="24"/>
          <w:szCs w:val="24"/>
        </w:rPr>
        <w:t>unclear prospects for sustained recovery in the US and Japan</w:t>
      </w:r>
      <w:r w:rsidR="0024405E">
        <w:rPr>
          <w:rFonts w:ascii="Times New Roman" w:hAnsi="Times New Roman" w:cs="Times New Roman"/>
          <w:sz w:val="24"/>
          <w:szCs w:val="24"/>
        </w:rPr>
        <w:t xml:space="preserve"> </w:t>
      </w:r>
      <w:r w:rsidR="008623E6" w:rsidRPr="0024405E">
        <w:rPr>
          <w:rFonts w:ascii="Times New Roman" w:hAnsi="Times New Roman" w:cs="Times New Roman"/>
          <w:sz w:val="24"/>
          <w:szCs w:val="24"/>
        </w:rPr>
        <w:t xml:space="preserve">and the slowing pace of growth in many dynamic emerging markets. At the same time, additional challenges and risks </w:t>
      </w:r>
      <w:r w:rsidR="000E77E7" w:rsidRPr="0024405E">
        <w:rPr>
          <w:rFonts w:ascii="Times New Roman" w:hAnsi="Times New Roman" w:cs="Times New Roman"/>
          <w:sz w:val="24"/>
          <w:szCs w:val="24"/>
        </w:rPr>
        <w:t xml:space="preserve">require urgent global attention and resolution, </w:t>
      </w:r>
      <w:r w:rsidR="008623E6" w:rsidRPr="0024405E">
        <w:rPr>
          <w:rFonts w:ascii="Times New Roman" w:hAnsi="Times New Roman" w:cs="Times New Roman"/>
          <w:sz w:val="24"/>
          <w:szCs w:val="24"/>
        </w:rPr>
        <w:t xml:space="preserve">including </w:t>
      </w:r>
      <w:r w:rsidR="00082C3F">
        <w:rPr>
          <w:rFonts w:ascii="Times New Roman" w:hAnsi="Times New Roman" w:cs="Times New Roman"/>
          <w:sz w:val="24"/>
          <w:szCs w:val="24"/>
        </w:rPr>
        <w:t xml:space="preserve">increased price volatility; </w:t>
      </w:r>
      <w:r w:rsidR="008623E6" w:rsidRPr="0024405E">
        <w:rPr>
          <w:rFonts w:ascii="Times New Roman" w:hAnsi="Times New Roman" w:cs="Times New Roman"/>
          <w:sz w:val="24"/>
          <w:szCs w:val="24"/>
        </w:rPr>
        <w:t xml:space="preserve">growing demand for and </w:t>
      </w:r>
      <w:r w:rsidR="00082C3F">
        <w:rPr>
          <w:rFonts w:ascii="Times New Roman" w:hAnsi="Times New Roman" w:cs="Times New Roman"/>
          <w:sz w:val="24"/>
          <w:szCs w:val="24"/>
        </w:rPr>
        <w:t xml:space="preserve">an </w:t>
      </w:r>
      <w:r w:rsidR="008623E6" w:rsidRPr="0024405E">
        <w:rPr>
          <w:rFonts w:ascii="Times New Roman" w:hAnsi="Times New Roman" w:cs="Times New Roman"/>
          <w:sz w:val="24"/>
          <w:szCs w:val="24"/>
        </w:rPr>
        <w:t>escalating scarcity of resources</w:t>
      </w:r>
      <w:r w:rsidR="00082C3F">
        <w:rPr>
          <w:rFonts w:ascii="Times New Roman" w:hAnsi="Times New Roman" w:cs="Times New Roman"/>
          <w:sz w:val="24"/>
          <w:szCs w:val="24"/>
        </w:rPr>
        <w:t xml:space="preserve">; and </w:t>
      </w:r>
      <w:r w:rsidR="008623E6" w:rsidRPr="0024405E">
        <w:rPr>
          <w:rFonts w:ascii="Times New Roman" w:hAnsi="Times New Roman" w:cs="Times New Roman"/>
          <w:sz w:val="24"/>
          <w:szCs w:val="24"/>
        </w:rPr>
        <w:t>addressing climate ch</w:t>
      </w:r>
      <w:r w:rsidR="000E77E7" w:rsidRPr="0024405E">
        <w:rPr>
          <w:rFonts w:ascii="Times New Roman" w:hAnsi="Times New Roman" w:cs="Times New Roman"/>
          <w:sz w:val="24"/>
          <w:szCs w:val="24"/>
        </w:rPr>
        <w:t>ange adaptation and mitigation</w:t>
      </w:r>
      <w:r w:rsidR="00082C3F">
        <w:rPr>
          <w:rFonts w:ascii="Times New Roman" w:hAnsi="Times New Roman" w:cs="Times New Roman"/>
          <w:sz w:val="24"/>
          <w:szCs w:val="24"/>
        </w:rPr>
        <w:t xml:space="preserve">. </w:t>
      </w:r>
      <w:r w:rsidR="00084DE6">
        <w:rPr>
          <w:rFonts w:ascii="Times New Roman" w:hAnsi="Times New Roman" w:cs="Times New Roman"/>
          <w:sz w:val="24"/>
          <w:szCs w:val="24"/>
        </w:rPr>
        <w:t xml:space="preserve">In recent years many poor </w:t>
      </w:r>
      <w:r w:rsidR="00082C3F">
        <w:rPr>
          <w:rFonts w:ascii="Times New Roman" w:hAnsi="Times New Roman" w:cs="Times New Roman"/>
          <w:sz w:val="24"/>
          <w:szCs w:val="24"/>
        </w:rPr>
        <w:t>and climate</w:t>
      </w:r>
      <w:r w:rsidR="00084DE6">
        <w:rPr>
          <w:rFonts w:ascii="Times New Roman" w:hAnsi="Times New Roman" w:cs="Times New Roman"/>
          <w:sz w:val="24"/>
          <w:szCs w:val="24"/>
        </w:rPr>
        <w:t>-</w:t>
      </w:r>
      <w:r w:rsidR="00082C3F">
        <w:rPr>
          <w:rFonts w:ascii="Times New Roman" w:hAnsi="Times New Roman" w:cs="Times New Roman"/>
          <w:sz w:val="24"/>
          <w:szCs w:val="24"/>
        </w:rPr>
        <w:t>vulnerable</w:t>
      </w:r>
      <w:r w:rsidR="00084DE6">
        <w:rPr>
          <w:rFonts w:ascii="Times New Roman" w:hAnsi="Times New Roman" w:cs="Times New Roman"/>
          <w:sz w:val="24"/>
          <w:szCs w:val="24"/>
        </w:rPr>
        <w:t xml:space="preserve"> </w:t>
      </w:r>
      <w:r w:rsidR="00082C3F">
        <w:rPr>
          <w:rFonts w:ascii="Times New Roman" w:hAnsi="Times New Roman" w:cs="Times New Roman"/>
          <w:sz w:val="24"/>
          <w:szCs w:val="24"/>
        </w:rPr>
        <w:t>Commonwealth countries have also experienced more frequent, deeper and more costly natural disasters. D</w:t>
      </w:r>
      <w:r w:rsidR="00AE0094">
        <w:rPr>
          <w:rFonts w:ascii="Times New Roman" w:hAnsi="Times New Roman" w:cs="Times New Roman"/>
          <w:sz w:val="24"/>
          <w:szCs w:val="24"/>
        </w:rPr>
        <w:t xml:space="preserve">etermining how best to achieve the </w:t>
      </w:r>
      <w:r w:rsidR="00A154A1">
        <w:rPr>
          <w:rFonts w:ascii="Times New Roman" w:hAnsi="Times New Roman" w:cs="Times New Roman"/>
          <w:sz w:val="24"/>
          <w:szCs w:val="24"/>
        </w:rPr>
        <w:t>Millennium</w:t>
      </w:r>
      <w:r w:rsidR="00AE0094">
        <w:rPr>
          <w:rFonts w:ascii="Times New Roman" w:hAnsi="Times New Roman" w:cs="Times New Roman"/>
          <w:sz w:val="24"/>
          <w:szCs w:val="24"/>
        </w:rPr>
        <w:t xml:space="preserve"> Development Goals</w:t>
      </w:r>
      <w:r w:rsidR="0032405E">
        <w:rPr>
          <w:rFonts w:ascii="Times New Roman" w:hAnsi="Times New Roman" w:cs="Times New Roman"/>
          <w:sz w:val="24"/>
          <w:szCs w:val="24"/>
        </w:rPr>
        <w:t xml:space="preserve"> (MDGs)</w:t>
      </w:r>
      <w:r w:rsidR="00AE0094">
        <w:rPr>
          <w:rFonts w:ascii="Times New Roman" w:hAnsi="Times New Roman" w:cs="Times New Roman"/>
          <w:sz w:val="24"/>
          <w:szCs w:val="24"/>
        </w:rPr>
        <w:t xml:space="preserve"> and </w:t>
      </w:r>
      <w:r w:rsidR="0032405E">
        <w:rPr>
          <w:rFonts w:ascii="Times New Roman" w:hAnsi="Times New Roman" w:cs="Times New Roman"/>
          <w:sz w:val="24"/>
          <w:szCs w:val="24"/>
        </w:rPr>
        <w:t xml:space="preserve">to </w:t>
      </w:r>
      <w:r w:rsidR="00AE0094">
        <w:rPr>
          <w:rFonts w:ascii="Times New Roman" w:hAnsi="Times New Roman" w:cs="Times New Roman"/>
          <w:sz w:val="24"/>
          <w:szCs w:val="24"/>
        </w:rPr>
        <w:t>address successor goals after 2015,</w:t>
      </w:r>
      <w:r w:rsidR="00084DE6">
        <w:rPr>
          <w:rFonts w:ascii="Times New Roman" w:hAnsi="Times New Roman" w:cs="Times New Roman"/>
          <w:sz w:val="24"/>
          <w:szCs w:val="24"/>
        </w:rPr>
        <w:t xml:space="preserve"> </w:t>
      </w:r>
      <w:r w:rsidR="00AE0094">
        <w:rPr>
          <w:rFonts w:ascii="Times New Roman" w:hAnsi="Times New Roman" w:cs="Times New Roman"/>
          <w:sz w:val="24"/>
          <w:szCs w:val="24"/>
        </w:rPr>
        <w:t xml:space="preserve">when the MDG framework comes to an end, </w:t>
      </w:r>
      <w:r w:rsidR="00082C3F">
        <w:rPr>
          <w:rFonts w:ascii="Times New Roman" w:hAnsi="Times New Roman" w:cs="Times New Roman"/>
          <w:sz w:val="24"/>
          <w:szCs w:val="24"/>
        </w:rPr>
        <w:t xml:space="preserve"> is also emerging as a major long-term challenge</w:t>
      </w:r>
      <w:r w:rsidR="0032405E" w:rsidRPr="0032405E">
        <w:rPr>
          <w:rFonts w:ascii="Times New Roman" w:hAnsi="Times New Roman" w:cs="Times New Roman"/>
          <w:sz w:val="24"/>
          <w:szCs w:val="24"/>
        </w:rPr>
        <w:t xml:space="preserve"> </w:t>
      </w:r>
      <w:r w:rsidR="0032405E">
        <w:rPr>
          <w:rFonts w:ascii="Times New Roman" w:hAnsi="Times New Roman" w:cs="Times New Roman"/>
          <w:sz w:val="24"/>
          <w:szCs w:val="24"/>
        </w:rPr>
        <w:t>and a source of escalating uncertainty, as many developing countries grapple with this challenge in the face of substantially reduced fiscal space, reserves and social safety nets.</w:t>
      </w:r>
      <w:r w:rsidR="000D3E2C">
        <w:rPr>
          <w:rFonts w:ascii="Times New Roman" w:hAnsi="Times New Roman" w:cs="Times New Roman"/>
          <w:sz w:val="24"/>
          <w:szCs w:val="24"/>
        </w:rPr>
        <w:t xml:space="preserve"> </w:t>
      </w:r>
      <w:r w:rsidR="00AE0094">
        <w:rPr>
          <w:rFonts w:ascii="Times New Roman" w:hAnsi="Times New Roman" w:cs="Times New Roman"/>
          <w:sz w:val="24"/>
          <w:szCs w:val="24"/>
        </w:rPr>
        <w:t>More immediately, a</w:t>
      </w:r>
      <w:r w:rsidR="00AE0094" w:rsidRPr="00E12CEA">
        <w:rPr>
          <w:rFonts w:ascii="Times New Roman" w:hAnsi="Times New Roman" w:cs="Times New Roman"/>
          <w:sz w:val="24"/>
          <w:szCs w:val="24"/>
        </w:rPr>
        <w:t xml:space="preserve">griculture price shocks are again becoming serious in the face of drought in the US and are of key concern to many Commonwealth developing countries. </w:t>
      </w:r>
    </w:p>
    <w:p w:rsidR="00084DE6" w:rsidRDefault="00084DE6" w:rsidP="005F6851">
      <w:pPr>
        <w:tabs>
          <w:tab w:val="left" w:pos="567"/>
        </w:tabs>
        <w:autoSpaceDE w:val="0"/>
        <w:autoSpaceDN w:val="0"/>
        <w:adjustRightInd w:val="0"/>
        <w:spacing w:after="0" w:line="240" w:lineRule="auto"/>
        <w:jc w:val="both"/>
        <w:rPr>
          <w:rFonts w:ascii="Times New Roman" w:hAnsi="Times New Roman" w:cs="Times New Roman"/>
          <w:sz w:val="24"/>
          <w:szCs w:val="24"/>
        </w:rPr>
      </w:pPr>
    </w:p>
    <w:p w:rsidR="00B962D3" w:rsidRPr="005F6851" w:rsidRDefault="00084DE6" w:rsidP="005F6851">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Pr>
          <w:rFonts w:ascii="Times New Roman" w:hAnsi="Times New Roman" w:cs="Times New Roman"/>
          <w:sz w:val="24"/>
          <w:szCs w:val="24"/>
        </w:rPr>
        <w:tab/>
      </w:r>
      <w:r w:rsidR="000D3E2C" w:rsidRPr="005F6851">
        <w:rPr>
          <w:rFonts w:ascii="Times New Roman" w:hAnsi="Times New Roman" w:cs="Times New Roman"/>
          <w:sz w:val="24"/>
          <w:szCs w:val="24"/>
        </w:rPr>
        <w:t xml:space="preserve">Finding ways to address these </w:t>
      </w:r>
      <w:r w:rsidR="0032405E" w:rsidRPr="005F6851">
        <w:rPr>
          <w:rFonts w:ascii="Times New Roman" w:hAnsi="Times New Roman" w:cs="Times New Roman"/>
          <w:sz w:val="24"/>
          <w:szCs w:val="24"/>
        </w:rPr>
        <w:t xml:space="preserve">uncertainties and accentuated risks </w:t>
      </w:r>
      <w:r w:rsidR="000D3E2C" w:rsidRPr="005F6851">
        <w:rPr>
          <w:rFonts w:ascii="Times New Roman" w:hAnsi="Times New Roman" w:cs="Times New Roman"/>
          <w:sz w:val="24"/>
          <w:szCs w:val="24"/>
        </w:rPr>
        <w:t>is cruci</w:t>
      </w:r>
      <w:r w:rsidR="0032405E" w:rsidRPr="005F6851">
        <w:rPr>
          <w:rFonts w:ascii="Times New Roman" w:hAnsi="Times New Roman" w:cs="Times New Roman"/>
          <w:sz w:val="24"/>
          <w:szCs w:val="24"/>
        </w:rPr>
        <w:t>al for all Commonwealth members and points to the need to ensure that sufficient resources and appropriate mechanisms are available both in the short and medium term, to stabilise growth, protect social systems and provide policy space for economies to absorb and respond to shocks and uncertainty. Indeed, t</w:t>
      </w:r>
      <w:r w:rsidR="000D3E2C" w:rsidRPr="005F6851">
        <w:rPr>
          <w:rFonts w:ascii="Times New Roman" w:hAnsi="Times New Roman" w:cs="Times New Roman"/>
          <w:sz w:val="24"/>
          <w:szCs w:val="24"/>
        </w:rPr>
        <w:t>he Eurozone debt crisis has shown that a global safety net and shock facilities are needed for all countries; while the Commonwealth’s poorest, smallest and most vulner</w:t>
      </w:r>
      <w:r w:rsidR="00AE0094" w:rsidRPr="005F6851">
        <w:rPr>
          <w:rFonts w:ascii="Times New Roman" w:hAnsi="Times New Roman" w:cs="Times New Roman"/>
          <w:sz w:val="24"/>
          <w:szCs w:val="24"/>
        </w:rPr>
        <w:t xml:space="preserve">able developing countries </w:t>
      </w:r>
      <w:r w:rsidR="000D3E2C" w:rsidRPr="005F6851">
        <w:rPr>
          <w:rFonts w:ascii="Times New Roman" w:hAnsi="Times New Roman" w:cs="Times New Roman"/>
          <w:sz w:val="24"/>
          <w:szCs w:val="24"/>
        </w:rPr>
        <w:t>have consistently emphasized their inherent structural vulnerability to exogenous shocks and have highlighted the need to review, systematize and expand shock facilities.</w:t>
      </w:r>
    </w:p>
    <w:p w:rsidR="00B962D3" w:rsidRPr="00B04A17" w:rsidRDefault="00B962D3" w:rsidP="00357DDF">
      <w:pPr>
        <w:pStyle w:val="ListParagraph"/>
        <w:ind w:left="0"/>
        <w:rPr>
          <w:rFonts w:ascii="Times New Roman" w:hAnsi="Times New Roman" w:cs="Times New Roman"/>
          <w:sz w:val="24"/>
          <w:szCs w:val="24"/>
        </w:rPr>
      </w:pPr>
    </w:p>
    <w:p w:rsidR="00B962D3" w:rsidRDefault="00084DE6" w:rsidP="005F6851">
      <w:pPr>
        <w:pStyle w:val="ListParagraph"/>
        <w:tabs>
          <w:tab w:val="left" w:pos="567"/>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6339F6">
        <w:rPr>
          <w:rFonts w:ascii="Times New Roman" w:hAnsi="Times New Roman" w:cs="Times New Roman"/>
          <w:sz w:val="24"/>
          <w:szCs w:val="24"/>
        </w:rPr>
        <w:t>Addressing shocks is important for other reasons too.</w:t>
      </w:r>
      <w:r w:rsidR="00B962D3">
        <w:rPr>
          <w:rFonts w:ascii="Times New Roman" w:hAnsi="Times New Roman" w:cs="Times New Roman"/>
          <w:sz w:val="24"/>
          <w:szCs w:val="24"/>
        </w:rPr>
        <w:t xml:space="preserve"> </w:t>
      </w:r>
      <w:r w:rsidR="006339F6">
        <w:rPr>
          <w:rFonts w:ascii="Times New Roman" w:hAnsi="Times New Roman" w:cs="Times New Roman"/>
          <w:sz w:val="24"/>
          <w:szCs w:val="24"/>
        </w:rPr>
        <w:t>E</w:t>
      </w:r>
      <w:r w:rsidR="00B962D3" w:rsidRPr="00E12CEA">
        <w:rPr>
          <w:rFonts w:ascii="Times New Roman" w:hAnsi="Times New Roman" w:cs="Times New Roman"/>
          <w:sz w:val="24"/>
          <w:szCs w:val="24"/>
        </w:rPr>
        <w:t xml:space="preserve">vidence shows the problem in poor countries is not just a failure to record periods of positive economic growth but also the frequency of downturns (Winters et al., 2010). </w:t>
      </w:r>
      <w:r w:rsidR="006339F6">
        <w:rPr>
          <w:rFonts w:ascii="Times New Roman" w:hAnsi="Times New Roman" w:cs="Times New Roman"/>
          <w:sz w:val="24"/>
          <w:szCs w:val="24"/>
        </w:rPr>
        <w:t>Low Income Countries (</w:t>
      </w:r>
      <w:r w:rsidR="00B962D3" w:rsidRPr="00E12CEA">
        <w:rPr>
          <w:rFonts w:ascii="Times New Roman" w:hAnsi="Times New Roman" w:cs="Times New Roman"/>
          <w:sz w:val="24"/>
          <w:szCs w:val="24"/>
        </w:rPr>
        <w:t>LICs</w:t>
      </w:r>
      <w:r w:rsidR="006339F6">
        <w:rPr>
          <w:rFonts w:ascii="Times New Roman" w:hAnsi="Times New Roman" w:cs="Times New Roman"/>
          <w:sz w:val="24"/>
          <w:szCs w:val="24"/>
        </w:rPr>
        <w:t>)</w:t>
      </w:r>
      <w:r w:rsidR="00B962D3" w:rsidRPr="00E12CEA">
        <w:rPr>
          <w:rFonts w:ascii="Times New Roman" w:hAnsi="Times New Roman" w:cs="Times New Roman"/>
          <w:sz w:val="24"/>
          <w:szCs w:val="24"/>
        </w:rPr>
        <w:t xml:space="preserve"> increased their per capita GDP by only 11</w:t>
      </w:r>
      <w:r w:rsidR="007F6CE2">
        <w:rPr>
          <w:rFonts w:ascii="Times New Roman" w:hAnsi="Times New Roman" w:cs="Times New Roman"/>
          <w:sz w:val="24"/>
          <w:szCs w:val="24"/>
        </w:rPr>
        <w:t xml:space="preserve"> per cent</w:t>
      </w:r>
      <w:r w:rsidR="007F6CE2" w:rsidRPr="00E12CEA">
        <w:rPr>
          <w:rFonts w:ascii="Times New Roman" w:hAnsi="Times New Roman" w:cs="Times New Roman"/>
          <w:sz w:val="24"/>
          <w:szCs w:val="24"/>
        </w:rPr>
        <w:t xml:space="preserve"> </w:t>
      </w:r>
      <w:r w:rsidR="00B962D3" w:rsidRPr="00E12CEA">
        <w:rPr>
          <w:rFonts w:ascii="Times New Roman" w:hAnsi="Times New Roman" w:cs="Times New Roman"/>
          <w:sz w:val="24"/>
          <w:szCs w:val="24"/>
        </w:rPr>
        <w:t xml:space="preserve">between 1960 and 2007. Either halving negative growth rates, i.e. halving the severity of downturns, or halving the percentage of years of negative growth over the forty seven year </w:t>
      </w:r>
      <w:r w:rsidR="006339F6">
        <w:rPr>
          <w:rFonts w:ascii="Times New Roman" w:hAnsi="Times New Roman" w:cs="Times New Roman"/>
          <w:sz w:val="24"/>
          <w:szCs w:val="24"/>
        </w:rPr>
        <w:t xml:space="preserve">period </w:t>
      </w:r>
      <w:r w:rsidR="00B962D3" w:rsidRPr="00E12CEA">
        <w:rPr>
          <w:rFonts w:ascii="Times New Roman" w:hAnsi="Times New Roman" w:cs="Times New Roman"/>
          <w:sz w:val="24"/>
          <w:szCs w:val="24"/>
        </w:rPr>
        <w:t>would have increased GDP by about 70</w:t>
      </w:r>
      <w:r w:rsidR="007F6CE2">
        <w:rPr>
          <w:rFonts w:ascii="Times New Roman" w:hAnsi="Times New Roman" w:cs="Times New Roman"/>
          <w:sz w:val="24"/>
          <w:szCs w:val="24"/>
        </w:rPr>
        <w:t xml:space="preserve"> per cent</w:t>
      </w:r>
      <w:r w:rsidR="00B962D3" w:rsidRPr="00E12CEA">
        <w:rPr>
          <w:rFonts w:ascii="Times New Roman" w:hAnsi="Times New Roman" w:cs="Times New Roman"/>
          <w:sz w:val="24"/>
          <w:szCs w:val="24"/>
        </w:rPr>
        <w:t xml:space="preserve">. But if negative growth rates could have been eliminated altogether, GDP per capita </w:t>
      </w:r>
      <w:r w:rsidR="006339F6">
        <w:rPr>
          <w:rFonts w:ascii="Times New Roman" w:hAnsi="Times New Roman" w:cs="Times New Roman"/>
          <w:sz w:val="24"/>
          <w:szCs w:val="24"/>
        </w:rPr>
        <w:t xml:space="preserve">for this group of countries </w:t>
      </w:r>
      <w:r w:rsidR="00B962D3" w:rsidRPr="00E12CEA">
        <w:rPr>
          <w:rFonts w:ascii="Times New Roman" w:hAnsi="Times New Roman" w:cs="Times New Roman"/>
          <w:sz w:val="24"/>
          <w:szCs w:val="24"/>
        </w:rPr>
        <w:t>would have more than doubled and average annual growth would have increased to over 2</w:t>
      </w:r>
      <w:r w:rsidR="007F6CE2">
        <w:rPr>
          <w:rFonts w:ascii="Times New Roman" w:hAnsi="Times New Roman" w:cs="Times New Roman"/>
          <w:sz w:val="24"/>
          <w:szCs w:val="24"/>
        </w:rPr>
        <w:t xml:space="preserve"> per cent</w:t>
      </w:r>
      <w:r w:rsidR="007F6CE2" w:rsidRPr="00E12CEA">
        <w:rPr>
          <w:rFonts w:ascii="Times New Roman" w:hAnsi="Times New Roman" w:cs="Times New Roman"/>
          <w:sz w:val="24"/>
          <w:szCs w:val="24"/>
        </w:rPr>
        <w:t xml:space="preserve"> </w:t>
      </w:r>
      <w:r w:rsidR="00B962D3" w:rsidRPr="00E12CEA">
        <w:rPr>
          <w:rFonts w:ascii="Times New Roman" w:hAnsi="Times New Roman" w:cs="Times New Roman"/>
          <w:sz w:val="24"/>
          <w:szCs w:val="24"/>
        </w:rPr>
        <w:t>rather than</w:t>
      </w:r>
      <w:r w:rsidR="00066263">
        <w:rPr>
          <w:rFonts w:ascii="Times New Roman" w:hAnsi="Times New Roman" w:cs="Times New Roman"/>
          <w:sz w:val="24"/>
          <w:szCs w:val="24"/>
        </w:rPr>
        <w:t xml:space="preserve"> the</w:t>
      </w:r>
      <w:r w:rsidR="00B962D3" w:rsidRPr="00E12CEA">
        <w:rPr>
          <w:rFonts w:ascii="Times New Roman" w:hAnsi="Times New Roman" w:cs="Times New Roman"/>
          <w:sz w:val="24"/>
          <w:szCs w:val="24"/>
        </w:rPr>
        <w:t xml:space="preserve"> 0.23</w:t>
      </w:r>
      <w:r w:rsidR="007F6CE2">
        <w:rPr>
          <w:rFonts w:ascii="Times New Roman" w:hAnsi="Times New Roman" w:cs="Times New Roman"/>
          <w:sz w:val="24"/>
          <w:szCs w:val="24"/>
        </w:rPr>
        <w:t xml:space="preserve"> per cent </w:t>
      </w:r>
      <w:r w:rsidR="006339F6">
        <w:rPr>
          <w:rFonts w:ascii="Times New Roman" w:hAnsi="Times New Roman" w:cs="Times New Roman"/>
          <w:sz w:val="24"/>
          <w:szCs w:val="24"/>
        </w:rPr>
        <w:t>achieved over this period.</w:t>
      </w:r>
      <w:r w:rsidR="00B962D3" w:rsidRPr="00E12CEA">
        <w:rPr>
          <w:rFonts w:ascii="Times New Roman" w:hAnsi="Times New Roman" w:cs="Times New Roman"/>
          <w:sz w:val="24"/>
          <w:szCs w:val="24"/>
        </w:rPr>
        <w:t xml:space="preserve"> Poor countries seem to remain poor because they have periods of deeply negative growth that more than cancel out prior periods of positive growth. Such periods of negative or low growth are often caused by external shocks. LICs are often poorly equipped to deal with, and recover from, adverse shocks (Aiello, 2009). Growth in small vulnerable economies, many of whom are commonwealth members, is particularly strongly hit by external shocks (Griffith-Jones and Tyson, 2010). </w:t>
      </w:r>
      <w:r w:rsidR="006339F6">
        <w:rPr>
          <w:rFonts w:ascii="Times New Roman" w:hAnsi="Times New Roman" w:cs="Times New Roman"/>
          <w:sz w:val="24"/>
          <w:szCs w:val="24"/>
        </w:rPr>
        <w:t xml:space="preserve">Consequently </w:t>
      </w:r>
      <w:r w:rsidR="00B962D3" w:rsidRPr="00E12CEA">
        <w:rPr>
          <w:rFonts w:ascii="Times New Roman" w:hAnsi="Times New Roman" w:cs="Times New Roman"/>
          <w:sz w:val="24"/>
          <w:szCs w:val="24"/>
        </w:rPr>
        <w:t>shocks financing is particularly significant for low income and small vulnerable economies, though important for all developing economies.</w:t>
      </w:r>
    </w:p>
    <w:p w:rsidR="00084DE6" w:rsidRPr="005F6851" w:rsidRDefault="00084DE6" w:rsidP="005F6851">
      <w:pPr>
        <w:tabs>
          <w:tab w:val="left" w:pos="567"/>
        </w:tabs>
        <w:autoSpaceDE w:val="0"/>
        <w:autoSpaceDN w:val="0"/>
        <w:adjustRightInd w:val="0"/>
        <w:spacing w:after="0" w:line="240" w:lineRule="auto"/>
        <w:jc w:val="both"/>
        <w:rPr>
          <w:rFonts w:ascii="Times New Roman" w:hAnsi="Times New Roman" w:cs="Times New Roman"/>
          <w:sz w:val="24"/>
          <w:szCs w:val="24"/>
        </w:rPr>
      </w:pPr>
    </w:p>
    <w:p w:rsidR="003527A8" w:rsidRDefault="00084DE6" w:rsidP="005F6851">
      <w:pPr>
        <w:pStyle w:val="ListParagraph"/>
        <w:tabs>
          <w:tab w:val="left" w:pos="567"/>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FC4EA6" w:rsidRPr="0052341E">
        <w:rPr>
          <w:rFonts w:ascii="Times New Roman" w:hAnsi="Times New Roman" w:cs="Times New Roman"/>
          <w:b/>
          <w:sz w:val="24"/>
          <w:szCs w:val="24"/>
        </w:rPr>
        <w:t>At the peak of the global financial crisis, international financial institutions significantly augmented their shock facilities.</w:t>
      </w:r>
      <w:r w:rsidR="00FC4EA6" w:rsidRPr="00B04A17">
        <w:rPr>
          <w:rFonts w:ascii="Times New Roman" w:hAnsi="Times New Roman" w:cs="Times New Roman"/>
          <w:sz w:val="24"/>
          <w:szCs w:val="24"/>
        </w:rPr>
        <w:t xml:space="preserve"> </w:t>
      </w:r>
      <w:r w:rsidR="00FC4EA6" w:rsidRPr="00466637">
        <w:rPr>
          <w:rFonts w:ascii="Times New Roman" w:hAnsi="Times New Roman" w:cs="Times New Roman"/>
          <w:sz w:val="24"/>
          <w:szCs w:val="24"/>
        </w:rPr>
        <w:t>These facilities proved crucial to many Commonwealth developing countries as they sought to maintain macroeconomic stability an</w:t>
      </w:r>
      <w:r w:rsidR="00FC4EA6" w:rsidRPr="0024560A">
        <w:rPr>
          <w:rFonts w:ascii="Times New Roman" w:hAnsi="Times New Roman" w:cs="Times New Roman"/>
          <w:sz w:val="24"/>
          <w:szCs w:val="24"/>
        </w:rPr>
        <w:t>d protect social systems through the crisis</w:t>
      </w:r>
      <w:r w:rsidR="00FC4EA6" w:rsidRPr="000C4D37">
        <w:rPr>
          <w:rFonts w:ascii="Times New Roman" w:hAnsi="Times New Roman" w:cs="Times New Roman"/>
          <w:sz w:val="24"/>
          <w:szCs w:val="24"/>
        </w:rPr>
        <w:t>. But a</w:t>
      </w:r>
      <w:r w:rsidR="00FC4EA6" w:rsidRPr="00B04A17">
        <w:rPr>
          <w:rFonts w:ascii="Times New Roman" w:hAnsi="Times New Roman" w:cs="Times New Roman"/>
          <w:sz w:val="24"/>
          <w:szCs w:val="24"/>
        </w:rPr>
        <w:t xml:space="preserve">s uncertainty </w:t>
      </w:r>
      <w:r w:rsidR="00FC4EA6">
        <w:rPr>
          <w:rFonts w:ascii="Times New Roman" w:hAnsi="Times New Roman" w:cs="Times New Roman"/>
          <w:sz w:val="24"/>
          <w:szCs w:val="24"/>
        </w:rPr>
        <w:t xml:space="preserve">has </w:t>
      </w:r>
      <w:r w:rsidR="00FC4EA6" w:rsidRPr="00B04A17">
        <w:rPr>
          <w:rFonts w:ascii="Times New Roman" w:hAnsi="Times New Roman" w:cs="Times New Roman"/>
          <w:sz w:val="24"/>
          <w:szCs w:val="24"/>
        </w:rPr>
        <w:t>continue</w:t>
      </w:r>
      <w:r w:rsidR="00FC4EA6">
        <w:rPr>
          <w:rFonts w:ascii="Times New Roman" w:hAnsi="Times New Roman" w:cs="Times New Roman"/>
          <w:sz w:val="24"/>
          <w:szCs w:val="24"/>
        </w:rPr>
        <w:t>d</w:t>
      </w:r>
      <w:r w:rsidR="00FC4EA6" w:rsidRPr="00466637">
        <w:rPr>
          <w:rFonts w:ascii="Times New Roman" w:hAnsi="Times New Roman" w:cs="Times New Roman"/>
          <w:sz w:val="24"/>
          <w:szCs w:val="24"/>
        </w:rPr>
        <w:t xml:space="preserve"> and additional new challenges </w:t>
      </w:r>
      <w:r w:rsidR="00FC4EA6">
        <w:rPr>
          <w:rFonts w:ascii="Times New Roman" w:hAnsi="Times New Roman" w:cs="Times New Roman"/>
          <w:sz w:val="24"/>
          <w:szCs w:val="24"/>
        </w:rPr>
        <w:t xml:space="preserve">have </w:t>
      </w:r>
      <w:r w:rsidR="00FC4EA6" w:rsidRPr="00466637">
        <w:rPr>
          <w:rFonts w:ascii="Times New Roman" w:hAnsi="Times New Roman" w:cs="Times New Roman"/>
          <w:sz w:val="24"/>
          <w:szCs w:val="24"/>
        </w:rPr>
        <w:t>emerge</w:t>
      </w:r>
      <w:r w:rsidR="00FC4EA6">
        <w:rPr>
          <w:rFonts w:ascii="Times New Roman" w:hAnsi="Times New Roman" w:cs="Times New Roman"/>
          <w:sz w:val="24"/>
          <w:szCs w:val="24"/>
        </w:rPr>
        <w:t>d</w:t>
      </w:r>
      <w:r w:rsidR="00FC4EA6" w:rsidRPr="00466637">
        <w:rPr>
          <w:rFonts w:ascii="Times New Roman" w:hAnsi="Times New Roman" w:cs="Times New Roman"/>
          <w:sz w:val="24"/>
          <w:szCs w:val="24"/>
        </w:rPr>
        <w:t xml:space="preserve"> </w:t>
      </w:r>
      <w:r w:rsidR="00FC4EA6">
        <w:rPr>
          <w:rFonts w:ascii="Times New Roman" w:hAnsi="Times New Roman" w:cs="Times New Roman"/>
          <w:sz w:val="24"/>
          <w:szCs w:val="24"/>
        </w:rPr>
        <w:t xml:space="preserve">it has become clearer that </w:t>
      </w:r>
      <w:r w:rsidR="00FC4EA6" w:rsidRPr="00466637">
        <w:rPr>
          <w:rFonts w:ascii="Times New Roman" w:hAnsi="Times New Roman" w:cs="Times New Roman"/>
          <w:sz w:val="24"/>
          <w:szCs w:val="24"/>
        </w:rPr>
        <w:t xml:space="preserve">new, better calibrated </w:t>
      </w:r>
      <w:r w:rsidR="00FC4EA6" w:rsidRPr="0024560A">
        <w:rPr>
          <w:rFonts w:ascii="Times New Roman" w:hAnsi="Times New Roman" w:cs="Times New Roman"/>
          <w:sz w:val="24"/>
          <w:szCs w:val="24"/>
        </w:rPr>
        <w:t xml:space="preserve">and more effective </w:t>
      </w:r>
      <w:r w:rsidR="00FC4EA6" w:rsidRPr="000C4D37">
        <w:rPr>
          <w:rFonts w:ascii="Times New Roman" w:hAnsi="Times New Roman" w:cs="Times New Roman"/>
          <w:sz w:val="24"/>
          <w:szCs w:val="24"/>
        </w:rPr>
        <w:t>shock facilities are required</w:t>
      </w:r>
      <w:r w:rsidR="00FC4EA6" w:rsidRPr="008C5382">
        <w:rPr>
          <w:rFonts w:ascii="Times New Roman" w:hAnsi="Times New Roman" w:cs="Times New Roman"/>
          <w:sz w:val="24"/>
          <w:szCs w:val="24"/>
        </w:rPr>
        <w:t xml:space="preserve"> to help these countries.</w:t>
      </w:r>
      <w:r w:rsidR="00FC4EA6">
        <w:rPr>
          <w:rFonts w:ascii="Times New Roman" w:hAnsi="Times New Roman" w:cs="Times New Roman"/>
          <w:sz w:val="24"/>
          <w:szCs w:val="24"/>
        </w:rPr>
        <w:t xml:space="preserve"> </w:t>
      </w:r>
      <w:r w:rsidR="00B962D3">
        <w:rPr>
          <w:rFonts w:ascii="Times New Roman" w:hAnsi="Times New Roman" w:cs="Times New Roman"/>
          <w:sz w:val="24"/>
          <w:szCs w:val="24"/>
        </w:rPr>
        <w:t xml:space="preserve">For these reasons, </w:t>
      </w:r>
      <w:r w:rsidR="00B962D3" w:rsidRPr="00E12CEA">
        <w:rPr>
          <w:rFonts w:ascii="Times New Roman" w:hAnsi="Times New Roman" w:cs="Times New Roman"/>
          <w:sz w:val="24"/>
          <w:szCs w:val="24"/>
        </w:rPr>
        <w:t xml:space="preserve">Ministers have often </w:t>
      </w:r>
      <w:r w:rsidR="00B962D3">
        <w:rPr>
          <w:rFonts w:ascii="Times New Roman" w:hAnsi="Times New Roman" w:cs="Times New Roman"/>
          <w:sz w:val="24"/>
          <w:szCs w:val="24"/>
        </w:rPr>
        <w:t xml:space="preserve">noted </w:t>
      </w:r>
      <w:r w:rsidR="00B962D3" w:rsidRPr="00E12CEA">
        <w:rPr>
          <w:rFonts w:ascii="Times New Roman" w:hAnsi="Times New Roman" w:cs="Times New Roman"/>
          <w:sz w:val="24"/>
          <w:szCs w:val="24"/>
        </w:rPr>
        <w:t>the need to review the external shocks architecture of the IFIs in light of many Commonwealth members structural vulnerability to exogenous shocks. It is timely for Commonwealth Ministers to consider this issue given the broader concern that new shocks are likely to arise from the on-going Eurozone crisis, the general slowdown of the world economy and from a possibly longer period of slow growth internationally. The IMF is also currently reviewing its lending facilities</w:t>
      </w:r>
      <w:r w:rsidR="006339F6">
        <w:rPr>
          <w:rFonts w:ascii="Times New Roman" w:hAnsi="Times New Roman" w:cs="Times New Roman"/>
          <w:sz w:val="24"/>
          <w:szCs w:val="24"/>
        </w:rPr>
        <w:t xml:space="preserve"> offering an important opportunity for Commonwealth views and perspectives to be highlighted and constituted to the review process</w:t>
      </w:r>
      <w:r w:rsidR="00B962D3" w:rsidRPr="00E12CEA">
        <w:rPr>
          <w:rFonts w:ascii="Times New Roman" w:hAnsi="Times New Roman" w:cs="Times New Roman"/>
          <w:sz w:val="24"/>
          <w:szCs w:val="24"/>
        </w:rPr>
        <w:t xml:space="preserve">. </w:t>
      </w:r>
      <w:r w:rsidR="006339F6">
        <w:rPr>
          <w:rFonts w:ascii="Times New Roman" w:hAnsi="Times New Roman" w:cs="Times New Roman"/>
          <w:sz w:val="24"/>
          <w:szCs w:val="24"/>
        </w:rPr>
        <w:t>Given the acute severity of shocks t</w:t>
      </w:r>
      <w:r w:rsidR="00B962D3" w:rsidRPr="00E12CEA">
        <w:rPr>
          <w:rFonts w:ascii="Times New Roman" w:hAnsi="Times New Roman" w:cs="Times New Roman"/>
          <w:sz w:val="24"/>
          <w:szCs w:val="24"/>
        </w:rPr>
        <w:t>he international community needs to stand ready to continue sheltering its poorest and most vulnerable countries from such shocks</w:t>
      </w:r>
      <w:r w:rsidR="006339F6">
        <w:rPr>
          <w:rFonts w:ascii="Times New Roman" w:hAnsi="Times New Roman" w:cs="Times New Roman"/>
          <w:sz w:val="24"/>
          <w:szCs w:val="24"/>
        </w:rPr>
        <w:t xml:space="preserve"> and it is increasingly important </w:t>
      </w:r>
      <w:r w:rsidR="00B962D3" w:rsidRPr="00E12CEA">
        <w:rPr>
          <w:rFonts w:ascii="Times New Roman" w:hAnsi="Times New Roman" w:cs="Times New Roman"/>
          <w:sz w:val="24"/>
          <w:szCs w:val="24"/>
        </w:rPr>
        <w:t xml:space="preserve">that existing shock facilities are reviewed, </w:t>
      </w:r>
      <w:r w:rsidR="006339F6">
        <w:rPr>
          <w:rFonts w:ascii="Times New Roman" w:hAnsi="Times New Roman" w:cs="Times New Roman"/>
          <w:sz w:val="24"/>
          <w:szCs w:val="24"/>
        </w:rPr>
        <w:t xml:space="preserve">in order </w:t>
      </w:r>
      <w:r w:rsidR="00B962D3" w:rsidRPr="00E12CEA">
        <w:rPr>
          <w:rFonts w:ascii="Times New Roman" w:hAnsi="Times New Roman" w:cs="Times New Roman"/>
          <w:sz w:val="24"/>
          <w:szCs w:val="24"/>
        </w:rPr>
        <w:t>to establish a more permanent, well-coordinated and financially sustainable shocks architecture.</w:t>
      </w:r>
    </w:p>
    <w:p w:rsidR="000F2420" w:rsidRPr="00B962D3" w:rsidRDefault="000F2420" w:rsidP="005F6851">
      <w:pPr>
        <w:pStyle w:val="ListParagraph"/>
        <w:tabs>
          <w:tab w:val="left" w:pos="567"/>
        </w:tabs>
        <w:autoSpaceDE w:val="0"/>
        <w:autoSpaceDN w:val="0"/>
        <w:adjustRightInd w:val="0"/>
        <w:spacing w:after="0" w:line="240" w:lineRule="auto"/>
        <w:ind w:left="0"/>
        <w:jc w:val="both"/>
        <w:rPr>
          <w:rFonts w:ascii="Times New Roman" w:hAnsi="Times New Roman" w:cs="Times New Roman"/>
          <w:sz w:val="24"/>
          <w:szCs w:val="24"/>
        </w:rPr>
      </w:pPr>
    </w:p>
    <w:p w:rsidR="00B962D3" w:rsidRDefault="00B962D3" w:rsidP="005F6851">
      <w:pPr>
        <w:pStyle w:val="ListParagraph"/>
        <w:numPr>
          <w:ilvl w:val="0"/>
          <w:numId w:val="29"/>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Consequently t</w:t>
      </w:r>
      <w:r w:rsidR="0024405E" w:rsidRPr="00466637">
        <w:rPr>
          <w:rFonts w:ascii="Times New Roman" w:hAnsi="Times New Roman" w:cs="Times New Roman"/>
          <w:sz w:val="24"/>
          <w:szCs w:val="24"/>
        </w:rPr>
        <w:t>h</w:t>
      </w:r>
      <w:r w:rsidR="0024405E" w:rsidRPr="00B04A17">
        <w:rPr>
          <w:rFonts w:ascii="Times New Roman" w:hAnsi="Times New Roman" w:cs="Times New Roman"/>
          <w:sz w:val="24"/>
          <w:szCs w:val="24"/>
        </w:rPr>
        <w:t xml:space="preserve">is paper considers a specific issue, of particular concern to </w:t>
      </w:r>
      <w:r w:rsidR="0032405E" w:rsidRPr="00466637">
        <w:rPr>
          <w:rFonts w:ascii="Times New Roman" w:hAnsi="Times New Roman" w:cs="Times New Roman"/>
          <w:sz w:val="24"/>
          <w:szCs w:val="24"/>
        </w:rPr>
        <w:t>Commonwealth</w:t>
      </w:r>
      <w:r w:rsidR="0032405E" w:rsidRPr="0024560A">
        <w:rPr>
          <w:rFonts w:ascii="Times New Roman" w:hAnsi="Times New Roman" w:cs="Times New Roman"/>
          <w:sz w:val="24"/>
          <w:szCs w:val="24"/>
        </w:rPr>
        <w:t xml:space="preserve"> members and particularly to the associations</w:t>
      </w:r>
      <w:r w:rsidR="0024405E" w:rsidRPr="00B04A17">
        <w:rPr>
          <w:rFonts w:ascii="Times New Roman" w:hAnsi="Times New Roman" w:cs="Times New Roman"/>
          <w:sz w:val="24"/>
          <w:szCs w:val="24"/>
        </w:rPr>
        <w:t>’ poorest, smallest and most vulnerable members as the</w:t>
      </w:r>
      <w:r w:rsidR="006C61A8" w:rsidRPr="00B04A17">
        <w:rPr>
          <w:rFonts w:ascii="Times New Roman" w:hAnsi="Times New Roman" w:cs="Times New Roman"/>
          <w:sz w:val="24"/>
          <w:szCs w:val="24"/>
        </w:rPr>
        <w:t>se members</w:t>
      </w:r>
      <w:r w:rsidR="0024405E" w:rsidRPr="00B04A17">
        <w:rPr>
          <w:rFonts w:ascii="Times New Roman" w:hAnsi="Times New Roman" w:cs="Times New Roman"/>
          <w:sz w:val="24"/>
          <w:szCs w:val="24"/>
        </w:rPr>
        <w:t xml:space="preserve"> seek </w:t>
      </w:r>
      <w:r w:rsidR="006C61A8" w:rsidRPr="00B04A17">
        <w:rPr>
          <w:rFonts w:ascii="Times New Roman" w:hAnsi="Times New Roman" w:cs="Times New Roman"/>
          <w:sz w:val="24"/>
          <w:szCs w:val="24"/>
        </w:rPr>
        <w:t>to respond</w:t>
      </w:r>
      <w:r w:rsidR="0024405E" w:rsidRPr="00B04A17">
        <w:rPr>
          <w:rFonts w:ascii="Times New Roman" w:hAnsi="Times New Roman" w:cs="Times New Roman"/>
          <w:sz w:val="24"/>
          <w:szCs w:val="24"/>
        </w:rPr>
        <w:t xml:space="preserve"> to external shocks and to perennial uncertainty – </w:t>
      </w:r>
      <w:r w:rsidR="0024405E" w:rsidRPr="005F6851">
        <w:rPr>
          <w:rFonts w:ascii="Times New Roman" w:hAnsi="Times New Roman" w:cs="Times New Roman"/>
          <w:b/>
          <w:sz w:val="24"/>
          <w:szCs w:val="24"/>
        </w:rPr>
        <w:t xml:space="preserve">the availability </w:t>
      </w:r>
      <w:r w:rsidR="0032405E" w:rsidRPr="005F6851">
        <w:rPr>
          <w:rFonts w:ascii="Times New Roman" w:hAnsi="Times New Roman" w:cs="Times New Roman"/>
          <w:b/>
          <w:sz w:val="24"/>
          <w:szCs w:val="24"/>
        </w:rPr>
        <w:t xml:space="preserve">and character </w:t>
      </w:r>
      <w:r w:rsidR="0024405E" w:rsidRPr="005F6851">
        <w:rPr>
          <w:rFonts w:ascii="Times New Roman" w:hAnsi="Times New Roman" w:cs="Times New Roman"/>
          <w:b/>
          <w:sz w:val="24"/>
          <w:szCs w:val="24"/>
        </w:rPr>
        <w:t>of multilateral financing to address external shocks.</w:t>
      </w:r>
      <w:r w:rsidR="0024405E" w:rsidRPr="00B04A17">
        <w:rPr>
          <w:rFonts w:ascii="Times New Roman" w:hAnsi="Times New Roman" w:cs="Times New Roman"/>
          <w:sz w:val="24"/>
          <w:szCs w:val="24"/>
        </w:rPr>
        <w:t xml:space="preserve"> </w:t>
      </w:r>
    </w:p>
    <w:p w:rsidR="00B962D3" w:rsidRDefault="00B962D3" w:rsidP="00B04A17">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FC4EA6" w:rsidRDefault="00482756" w:rsidP="005F6851">
      <w:pPr>
        <w:pStyle w:val="ListParagraph"/>
        <w:numPr>
          <w:ilvl w:val="0"/>
          <w:numId w:val="29"/>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5F6851">
        <w:rPr>
          <w:rFonts w:ascii="Times New Roman" w:hAnsi="Times New Roman" w:cs="Times New Roman"/>
          <w:b/>
          <w:sz w:val="24"/>
          <w:szCs w:val="24"/>
        </w:rPr>
        <w:t>Section 1</w:t>
      </w:r>
      <w:r w:rsidRPr="00466637">
        <w:rPr>
          <w:rFonts w:ascii="Times New Roman" w:hAnsi="Times New Roman" w:cs="Times New Roman"/>
          <w:sz w:val="24"/>
          <w:szCs w:val="24"/>
        </w:rPr>
        <w:t xml:space="preserve"> </w:t>
      </w:r>
      <w:r w:rsidR="00A563A3" w:rsidRPr="0024560A">
        <w:rPr>
          <w:rFonts w:ascii="Times New Roman" w:hAnsi="Times New Roman" w:cs="Times New Roman"/>
          <w:b/>
          <w:sz w:val="24"/>
          <w:szCs w:val="24"/>
        </w:rPr>
        <w:t xml:space="preserve">considers a range of </w:t>
      </w:r>
      <w:r w:rsidR="00A563A3" w:rsidRPr="000C4D37">
        <w:rPr>
          <w:rFonts w:ascii="Times New Roman" w:hAnsi="Times New Roman" w:cs="Times New Roman"/>
          <w:b/>
          <w:sz w:val="24"/>
          <w:szCs w:val="24"/>
        </w:rPr>
        <w:t>shock facilities provided by international financial institutions</w:t>
      </w:r>
      <w:r w:rsidR="00A563A3" w:rsidRPr="008C5382">
        <w:rPr>
          <w:rFonts w:ascii="Times New Roman" w:hAnsi="Times New Roman" w:cs="Times New Roman"/>
          <w:b/>
          <w:sz w:val="24"/>
          <w:szCs w:val="24"/>
        </w:rPr>
        <w:t xml:space="preserve"> in</w:t>
      </w:r>
      <w:r w:rsidR="00A563A3" w:rsidRPr="00B04A17">
        <w:rPr>
          <w:rFonts w:ascii="Times New Roman" w:hAnsi="Times New Roman" w:cs="Times New Roman"/>
          <w:b/>
          <w:sz w:val="24"/>
          <w:szCs w:val="24"/>
        </w:rPr>
        <w:t xml:space="preserve"> </w:t>
      </w:r>
      <w:r w:rsidR="003527A8" w:rsidRPr="00B04A17">
        <w:rPr>
          <w:rFonts w:ascii="Times New Roman" w:hAnsi="Times New Roman" w:cs="Times New Roman"/>
          <w:b/>
          <w:sz w:val="24"/>
          <w:szCs w:val="24"/>
        </w:rPr>
        <w:t xml:space="preserve">response </w:t>
      </w:r>
      <w:r w:rsidR="00A563A3" w:rsidRPr="00466637">
        <w:rPr>
          <w:rFonts w:ascii="Times New Roman" w:hAnsi="Times New Roman" w:cs="Times New Roman"/>
          <w:b/>
          <w:sz w:val="24"/>
          <w:szCs w:val="24"/>
        </w:rPr>
        <w:t>to the</w:t>
      </w:r>
      <w:r w:rsidR="003527A8" w:rsidRPr="00B04A17">
        <w:rPr>
          <w:rFonts w:ascii="Times New Roman" w:hAnsi="Times New Roman" w:cs="Times New Roman"/>
          <w:b/>
          <w:sz w:val="24"/>
          <w:szCs w:val="24"/>
        </w:rPr>
        <w:t xml:space="preserve"> financial crisis</w:t>
      </w:r>
      <w:r w:rsidR="00A563A3" w:rsidRPr="00466637">
        <w:rPr>
          <w:rFonts w:ascii="Times New Roman" w:hAnsi="Times New Roman" w:cs="Times New Roman"/>
          <w:b/>
          <w:sz w:val="24"/>
          <w:szCs w:val="24"/>
        </w:rPr>
        <w:t xml:space="preserve">. </w:t>
      </w:r>
      <w:r w:rsidR="00A563A3" w:rsidRPr="00466637">
        <w:rPr>
          <w:rFonts w:ascii="Times New Roman" w:hAnsi="Times New Roman" w:cs="Times New Roman"/>
          <w:sz w:val="24"/>
          <w:szCs w:val="24"/>
        </w:rPr>
        <w:t xml:space="preserve"> </w:t>
      </w:r>
      <w:r w:rsidR="003527A8" w:rsidRPr="00B04A17">
        <w:rPr>
          <w:rFonts w:ascii="Times New Roman" w:hAnsi="Times New Roman" w:cs="Times New Roman"/>
          <w:sz w:val="24"/>
          <w:szCs w:val="24"/>
        </w:rPr>
        <w:t>IM</w:t>
      </w:r>
      <w:r w:rsidR="00A563A3" w:rsidRPr="00466637">
        <w:rPr>
          <w:rFonts w:ascii="Times New Roman" w:hAnsi="Times New Roman" w:cs="Times New Roman"/>
          <w:sz w:val="24"/>
          <w:szCs w:val="24"/>
        </w:rPr>
        <w:t>F shock</w:t>
      </w:r>
      <w:r w:rsidR="003527A8" w:rsidRPr="00B04A17">
        <w:rPr>
          <w:rFonts w:ascii="Times New Roman" w:hAnsi="Times New Roman" w:cs="Times New Roman"/>
          <w:sz w:val="24"/>
          <w:szCs w:val="24"/>
        </w:rPr>
        <w:t xml:space="preserve"> facilities</w:t>
      </w:r>
      <w:r w:rsidR="003527A8" w:rsidRPr="00466637">
        <w:rPr>
          <w:rFonts w:ascii="Times New Roman" w:hAnsi="Times New Roman" w:cs="Times New Roman"/>
          <w:sz w:val="24"/>
          <w:szCs w:val="24"/>
        </w:rPr>
        <w:t xml:space="preserve"> </w:t>
      </w:r>
      <w:r w:rsidR="00A563A3" w:rsidRPr="0024560A">
        <w:rPr>
          <w:rFonts w:ascii="Times New Roman" w:hAnsi="Times New Roman" w:cs="Times New Roman"/>
          <w:sz w:val="24"/>
          <w:szCs w:val="24"/>
        </w:rPr>
        <w:t xml:space="preserve">both strengthened and increased considerably </w:t>
      </w:r>
      <w:r w:rsidR="003527A8" w:rsidRPr="000C4D37">
        <w:rPr>
          <w:rFonts w:ascii="Times New Roman" w:hAnsi="Times New Roman" w:cs="Times New Roman"/>
          <w:sz w:val="24"/>
          <w:szCs w:val="24"/>
        </w:rPr>
        <w:t>through the crisis</w:t>
      </w:r>
      <w:r w:rsidR="00FC4EA6">
        <w:rPr>
          <w:rFonts w:ascii="Times New Roman" w:hAnsi="Times New Roman" w:cs="Times New Roman"/>
          <w:sz w:val="24"/>
          <w:szCs w:val="24"/>
        </w:rPr>
        <w:t xml:space="preserve">. But </w:t>
      </w:r>
      <w:r w:rsidR="00A563A3" w:rsidRPr="00466637">
        <w:rPr>
          <w:rFonts w:ascii="Times New Roman" w:hAnsi="Times New Roman" w:cs="Times New Roman"/>
          <w:sz w:val="24"/>
          <w:szCs w:val="24"/>
        </w:rPr>
        <w:t>as Commonwealth developing countries seek to cope with external shocks and respon</w:t>
      </w:r>
      <w:r w:rsidR="00FC4EA6">
        <w:rPr>
          <w:rFonts w:ascii="Times New Roman" w:hAnsi="Times New Roman" w:cs="Times New Roman"/>
          <w:sz w:val="24"/>
          <w:szCs w:val="24"/>
        </w:rPr>
        <w:t>d</w:t>
      </w:r>
      <w:r w:rsidR="00A563A3" w:rsidRPr="00466637">
        <w:rPr>
          <w:rFonts w:ascii="Times New Roman" w:hAnsi="Times New Roman" w:cs="Times New Roman"/>
          <w:sz w:val="24"/>
          <w:szCs w:val="24"/>
        </w:rPr>
        <w:t xml:space="preserve"> to on</w:t>
      </w:r>
      <w:r w:rsidR="00A154A1">
        <w:rPr>
          <w:rFonts w:ascii="Times New Roman" w:hAnsi="Times New Roman" w:cs="Times New Roman"/>
          <w:sz w:val="24"/>
          <w:szCs w:val="24"/>
        </w:rPr>
        <w:t>-</w:t>
      </w:r>
      <w:r w:rsidR="00A563A3" w:rsidRPr="00466637">
        <w:rPr>
          <w:rFonts w:ascii="Times New Roman" w:hAnsi="Times New Roman" w:cs="Times New Roman"/>
          <w:sz w:val="24"/>
          <w:szCs w:val="24"/>
        </w:rPr>
        <w:t xml:space="preserve">going global uncertainties, </w:t>
      </w:r>
      <w:r w:rsidR="00FC4EA6">
        <w:rPr>
          <w:rFonts w:ascii="Times New Roman" w:hAnsi="Times New Roman" w:cs="Times New Roman"/>
          <w:sz w:val="24"/>
          <w:szCs w:val="24"/>
        </w:rPr>
        <w:t xml:space="preserve">the paper finds that </w:t>
      </w:r>
      <w:r w:rsidR="003527A8" w:rsidRPr="00B04A17">
        <w:rPr>
          <w:rFonts w:ascii="Times New Roman" w:hAnsi="Times New Roman" w:cs="Times New Roman"/>
          <w:b/>
          <w:sz w:val="24"/>
          <w:szCs w:val="24"/>
        </w:rPr>
        <w:t xml:space="preserve">important issues remain regarding the sufficiency and composition of </w:t>
      </w:r>
      <w:r w:rsidR="00A563A3" w:rsidRPr="00466637">
        <w:rPr>
          <w:rFonts w:ascii="Times New Roman" w:hAnsi="Times New Roman" w:cs="Times New Roman"/>
          <w:b/>
          <w:sz w:val="24"/>
          <w:szCs w:val="24"/>
        </w:rPr>
        <w:t xml:space="preserve">such </w:t>
      </w:r>
      <w:r w:rsidR="003527A8" w:rsidRPr="00B04A17">
        <w:rPr>
          <w:rFonts w:ascii="Times New Roman" w:hAnsi="Times New Roman" w:cs="Times New Roman"/>
          <w:b/>
          <w:sz w:val="24"/>
          <w:szCs w:val="24"/>
        </w:rPr>
        <w:t>support.</w:t>
      </w:r>
      <w:r w:rsidR="003527A8" w:rsidRPr="00B04A17">
        <w:rPr>
          <w:rFonts w:ascii="Times New Roman" w:hAnsi="Times New Roman" w:cs="Times New Roman"/>
          <w:sz w:val="24"/>
          <w:szCs w:val="24"/>
        </w:rPr>
        <w:t xml:space="preserve"> </w:t>
      </w:r>
      <w:r w:rsidR="003527A8" w:rsidRPr="00466637">
        <w:rPr>
          <w:rFonts w:ascii="Times New Roman" w:hAnsi="Times New Roman" w:cs="Times New Roman"/>
          <w:sz w:val="24"/>
          <w:szCs w:val="24"/>
        </w:rPr>
        <w:t>With the IMF’s review of its shock facilities underway, M</w:t>
      </w:r>
      <w:r w:rsidR="003527A8" w:rsidRPr="00B04A17">
        <w:rPr>
          <w:rFonts w:ascii="Times New Roman" w:hAnsi="Times New Roman" w:cs="Times New Roman"/>
          <w:sz w:val="24"/>
          <w:szCs w:val="24"/>
        </w:rPr>
        <w:t xml:space="preserve">inisters are asked to discuss their recent experience in accessing shock financing and to consider a number of design issues to strengthen IMF shock financing. </w:t>
      </w:r>
      <w:r w:rsidR="003527A8" w:rsidRPr="00466637">
        <w:rPr>
          <w:rFonts w:ascii="Times New Roman" w:hAnsi="Times New Roman" w:cs="Times New Roman"/>
          <w:sz w:val="24"/>
          <w:szCs w:val="24"/>
        </w:rPr>
        <w:t>Th</w:t>
      </w:r>
      <w:r w:rsidR="003527A8" w:rsidRPr="0024560A">
        <w:rPr>
          <w:rFonts w:ascii="Times New Roman" w:hAnsi="Times New Roman" w:cs="Times New Roman"/>
          <w:sz w:val="24"/>
          <w:szCs w:val="24"/>
        </w:rPr>
        <w:t xml:space="preserve">e </w:t>
      </w:r>
      <w:r w:rsidR="00A563A3" w:rsidRPr="000C4D37">
        <w:rPr>
          <w:rFonts w:ascii="Times New Roman" w:hAnsi="Times New Roman" w:cs="Times New Roman"/>
          <w:sz w:val="24"/>
          <w:szCs w:val="24"/>
        </w:rPr>
        <w:t>shock facil</w:t>
      </w:r>
      <w:r w:rsidR="00A563A3" w:rsidRPr="008C5382">
        <w:rPr>
          <w:rFonts w:ascii="Times New Roman" w:hAnsi="Times New Roman" w:cs="Times New Roman"/>
          <w:sz w:val="24"/>
          <w:szCs w:val="24"/>
        </w:rPr>
        <w:t xml:space="preserve">ities provided by the World Bank and </w:t>
      </w:r>
      <w:r w:rsidR="00A563A3" w:rsidRPr="00B04A17">
        <w:rPr>
          <w:rFonts w:ascii="Times New Roman" w:hAnsi="Times New Roman" w:cs="Times New Roman"/>
          <w:sz w:val="24"/>
          <w:szCs w:val="24"/>
        </w:rPr>
        <w:t>by the European Union are also briefly considered and M</w:t>
      </w:r>
      <w:r w:rsidR="003527A8" w:rsidRPr="00B04A17">
        <w:rPr>
          <w:rFonts w:ascii="Times New Roman" w:hAnsi="Times New Roman" w:cs="Times New Roman"/>
          <w:sz w:val="24"/>
          <w:szCs w:val="24"/>
        </w:rPr>
        <w:t xml:space="preserve">inisters are asked their views on how these facilities can </w:t>
      </w:r>
      <w:r w:rsidR="00FC4EA6">
        <w:rPr>
          <w:rFonts w:ascii="Times New Roman" w:hAnsi="Times New Roman" w:cs="Times New Roman"/>
          <w:sz w:val="24"/>
          <w:szCs w:val="24"/>
        </w:rPr>
        <w:t xml:space="preserve">also </w:t>
      </w:r>
      <w:r w:rsidR="003527A8" w:rsidRPr="00B04A17">
        <w:rPr>
          <w:rFonts w:ascii="Times New Roman" w:hAnsi="Times New Roman" w:cs="Times New Roman"/>
          <w:sz w:val="24"/>
          <w:szCs w:val="24"/>
        </w:rPr>
        <w:t>be further strengthened</w:t>
      </w:r>
      <w:r w:rsidR="00CF64A6" w:rsidRPr="00B04A17">
        <w:rPr>
          <w:rFonts w:ascii="Times New Roman" w:hAnsi="Times New Roman" w:cs="Times New Roman"/>
          <w:sz w:val="24"/>
          <w:szCs w:val="24"/>
        </w:rPr>
        <w:t xml:space="preserve">. </w:t>
      </w:r>
    </w:p>
    <w:p w:rsidR="001C252C" w:rsidRDefault="001C252C" w:rsidP="001C252C">
      <w:pPr>
        <w:autoSpaceDE w:val="0"/>
        <w:autoSpaceDN w:val="0"/>
        <w:adjustRightInd w:val="0"/>
        <w:spacing w:after="0" w:line="240" w:lineRule="auto"/>
        <w:jc w:val="both"/>
        <w:rPr>
          <w:rFonts w:ascii="Times New Roman" w:hAnsi="Times New Roman" w:cs="Times New Roman"/>
          <w:sz w:val="24"/>
          <w:szCs w:val="24"/>
        </w:rPr>
      </w:pPr>
    </w:p>
    <w:p w:rsidR="001C252C" w:rsidRDefault="001C252C" w:rsidP="005F6851">
      <w:pPr>
        <w:pStyle w:val="ListParagraph"/>
        <w:numPr>
          <w:ilvl w:val="0"/>
          <w:numId w:val="29"/>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B04A17">
        <w:rPr>
          <w:rFonts w:ascii="Times New Roman" w:hAnsi="Times New Roman" w:cs="Times New Roman"/>
          <w:sz w:val="24"/>
          <w:szCs w:val="24"/>
        </w:rPr>
        <w:t xml:space="preserve">Closely associated with the challenge of strengthening shock facilities is a further issue. There is growing consensus that official liquidity and development finance (both concessional and non-concessional), as well as grants, need to play an important role in mitigating the impact of shocks. This seems to imply the desirability of </w:t>
      </w:r>
      <w:r w:rsidRPr="005F6851">
        <w:rPr>
          <w:rFonts w:ascii="Times New Roman" w:hAnsi="Times New Roman" w:cs="Times New Roman"/>
          <w:b/>
          <w:sz w:val="24"/>
          <w:szCs w:val="24"/>
        </w:rPr>
        <w:t>allocating a higher proportion of official</w:t>
      </w:r>
      <w:r w:rsidRPr="00B04A17">
        <w:rPr>
          <w:rFonts w:ascii="Times New Roman" w:hAnsi="Times New Roman" w:cs="Times New Roman"/>
          <w:sz w:val="24"/>
          <w:szCs w:val="24"/>
        </w:rPr>
        <w:t xml:space="preserve"> </w:t>
      </w:r>
      <w:r w:rsidRPr="005F6851">
        <w:rPr>
          <w:rFonts w:ascii="Times New Roman" w:hAnsi="Times New Roman" w:cs="Times New Roman"/>
          <w:b/>
          <w:sz w:val="24"/>
          <w:szCs w:val="24"/>
        </w:rPr>
        <w:t>resources to</w:t>
      </w:r>
      <w:r w:rsidR="00C22938" w:rsidRPr="005F6851">
        <w:rPr>
          <w:rFonts w:ascii="Times New Roman" w:hAnsi="Times New Roman" w:cs="Times New Roman"/>
          <w:b/>
          <w:sz w:val="24"/>
          <w:szCs w:val="24"/>
        </w:rPr>
        <w:t xml:space="preserve"> shock financing </w:t>
      </w:r>
      <w:r w:rsidR="00066263">
        <w:rPr>
          <w:rFonts w:ascii="Times New Roman" w:hAnsi="Times New Roman" w:cs="Times New Roman"/>
          <w:b/>
          <w:sz w:val="24"/>
          <w:szCs w:val="24"/>
        </w:rPr>
        <w:t xml:space="preserve">in order </w:t>
      </w:r>
      <w:r w:rsidR="00C22938" w:rsidRPr="005F6851">
        <w:rPr>
          <w:rFonts w:ascii="Times New Roman" w:hAnsi="Times New Roman" w:cs="Times New Roman"/>
          <w:b/>
          <w:sz w:val="24"/>
          <w:szCs w:val="24"/>
        </w:rPr>
        <w:t>to</w:t>
      </w:r>
      <w:r w:rsidRPr="00B04A17">
        <w:rPr>
          <w:rFonts w:ascii="Times New Roman" w:hAnsi="Times New Roman" w:cs="Times New Roman"/>
          <w:sz w:val="24"/>
          <w:szCs w:val="24"/>
        </w:rPr>
        <w:t xml:space="preserve"> help developing countries including the many Commonwealth countries which lack resilience address shocks</w:t>
      </w:r>
      <w:r w:rsidR="00C22938">
        <w:rPr>
          <w:rFonts w:ascii="Times New Roman" w:hAnsi="Times New Roman" w:cs="Times New Roman"/>
          <w:sz w:val="24"/>
          <w:szCs w:val="24"/>
        </w:rPr>
        <w:t>.</w:t>
      </w:r>
      <w:r w:rsidRPr="00B04A17">
        <w:rPr>
          <w:rFonts w:ascii="Times New Roman" w:hAnsi="Times New Roman" w:cs="Times New Roman"/>
          <w:sz w:val="24"/>
          <w:szCs w:val="24"/>
        </w:rPr>
        <w:t xml:space="preserve"> An important policy question is therefore whether more emphasis should be placed on dealing with shocks, to </w:t>
      </w:r>
      <w:r w:rsidR="00C22938">
        <w:rPr>
          <w:rFonts w:ascii="Times New Roman" w:hAnsi="Times New Roman" w:cs="Times New Roman"/>
          <w:sz w:val="24"/>
          <w:szCs w:val="24"/>
        </w:rPr>
        <w:t xml:space="preserve">help </w:t>
      </w:r>
      <w:r w:rsidRPr="00B04A17">
        <w:rPr>
          <w:rFonts w:ascii="Times New Roman" w:hAnsi="Times New Roman" w:cs="Times New Roman"/>
          <w:sz w:val="24"/>
          <w:szCs w:val="24"/>
        </w:rPr>
        <w:t>avoid growth declining in the short term, thus preventing a serious disruption in efforts to pursue development and poverty alleviation</w:t>
      </w:r>
      <w:r w:rsidR="00C22938">
        <w:rPr>
          <w:rFonts w:ascii="Times New Roman" w:hAnsi="Times New Roman" w:cs="Times New Roman"/>
          <w:sz w:val="24"/>
          <w:szCs w:val="24"/>
        </w:rPr>
        <w:t>, and in such a case how can the potential trade off in allocating less funds to other development activities be addressed</w:t>
      </w:r>
      <w:r w:rsidR="00066263">
        <w:rPr>
          <w:rFonts w:ascii="Times New Roman" w:hAnsi="Times New Roman" w:cs="Times New Roman"/>
          <w:sz w:val="24"/>
          <w:szCs w:val="24"/>
        </w:rPr>
        <w:t>.</w:t>
      </w:r>
      <w:r w:rsidRPr="00B04A17">
        <w:rPr>
          <w:rFonts w:ascii="Times New Roman" w:hAnsi="Times New Roman" w:cs="Times New Roman"/>
          <w:sz w:val="24"/>
          <w:szCs w:val="24"/>
        </w:rPr>
        <w:t xml:space="preserve"> Ministers are asked whether a greater proportion of </w:t>
      </w:r>
      <w:r>
        <w:rPr>
          <w:rFonts w:ascii="Times New Roman" w:hAnsi="Times New Roman" w:cs="Times New Roman"/>
          <w:sz w:val="24"/>
          <w:szCs w:val="24"/>
        </w:rPr>
        <w:t xml:space="preserve">IFI </w:t>
      </w:r>
      <w:r w:rsidRPr="00B04A17">
        <w:rPr>
          <w:rFonts w:ascii="Times New Roman" w:hAnsi="Times New Roman" w:cs="Times New Roman"/>
          <w:sz w:val="24"/>
          <w:szCs w:val="24"/>
        </w:rPr>
        <w:t>resources</w:t>
      </w:r>
      <w:r>
        <w:rPr>
          <w:rFonts w:ascii="Times New Roman" w:hAnsi="Times New Roman" w:cs="Times New Roman"/>
          <w:sz w:val="24"/>
          <w:szCs w:val="24"/>
        </w:rPr>
        <w:t>, including resources provided by the IMF,</w:t>
      </w:r>
      <w:r w:rsidRPr="00B04A17">
        <w:rPr>
          <w:rFonts w:ascii="Times New Roman" w:hAnsi="Times New Roman" w:cs="Times New Roman"/>
          <w:sz w:val="24"/>
          <w:szCs w:val="24"/>
        </w:rPr>
        <w:t xml:space="preserve"> should b</w:t>
      </w:r>
      <w:r w:rsidRPr="00466637">
        <w:rPr>
          <w:rFonts w:ascii="Times New Roman" w:hAnsi="Times New Roman" w:cs="Times New Roman"/>
          <w:sz w:val="24"/>
          <w:szCs w:val="24"/>
        </w:rPr>
        <w:t>e allocated to shock financing.</w:t>
      </w:r>
    </w:p>
    <w:p w:rsidR="00FC4EA6" w:rsidRPr="005F6851" w:rsidRDefault="00FC4EA6" w:rsidP="00534299">
      <w:pPr>
        <w:pStyle w:val="ListParagraph"/>
        <w:ind w:left="0"/>
        <w:rPr>
          <w:rFonts w:ascii="Times New Roman" w:hAnsi="Times New Roman" w:cs="Times New Roman"/>
          <w:sz w:val="24"/>
          <w:szCs w:val="24"/>
        </w:rPr>
      </w:pPr>
    </w:p>
    <w:p w:rsidR="00FC4EA6" w:rsidRPr="00C22938" w:rsidRDefault="00FC4EA6" w:rsidP="005F6851">
      <w:pPr>
        <w:pStyle w:val="ListParagraph"/>
        <w:numPr>
          <w:ilvl w:val="0"/>
          <w:numId w:val="29"/>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Section 2 </w:t>
      </w:r>
      <w:r w:rsidRPr="00B04A17">
        <w:rPr>
          <w:rFonts w:ascii="Times New Roman" w:hAnsi="Times New Roman" w:cs="Times New Roman"/>
          <w:sz w:val="24"/>
          <w:szCs w:val="24"/>
        </w:rPr>
        <w:t xml:space="preserve">briefly examines the experience of a small selected group of Commonwealth small and vulnerable developing countries from the Caribbean, Pacific, Indian Ocean, Sub-Saharan Africa and South Asia, which have benefitted from </w:t>
      </w:r>
      <w:r>
        <w:rPr>
          <w:rFonts w:ascii="Times New Roman" w:hAnsi="Times New Roman" w:cs="Times New Roman"/>
          <w:sz w:val="24"/>
          <w:szCs w:val="24"/>
        </w:rPr>
        <w:t xml:space="preserve">a variety of shocks </w:t>
      </w:r>
      <w:r w:rsidRPr="00B04A17">
        <w:rPr>
          <w:rFonts w:ascii="Times New Roman" w:hAnsi="Times New Roman" w:cs="Times New Roman"/>
          <w:sz w:val="24"/>
          <w:szCs w:val="24"/>
        </w:rPr>
        <w:t xml:space="preserve">facilities since the global crisis emerged in 2008; and from this brief analysis considers lessons for further improvement in </w:t>
      </w:r>
      <w:r>
        <w:rPr>
          <w:rFonts w:ascii="Times New Roman" w:hAnsi="Times New Roman" w:cs="Times New Roman"/>
          <w:sz w:val="24"/>
          <w:szCs w:val="24"/>
        </w:rPr>
        <w:t xml:space="preserve">the </w:t>
      </w:r>
      <w:r w:rsidR="009C36E8">
        <w:rPr>
          <w:rFonts w:ascii="Times New Roman" w:hAnsi="Times New Roman" w:cs="Times New Roman"/>
          <w:sz w:val="24"/>
          <w:szCs w:val="24"/>
        </w:rPr>
        <w:t xml:space="preserve">existing </w:t>
      </w:r>
      <w:r>
        <w:rPr>
          <w:rFonts w:ascii="Times New Roman" w:hAnsi="Times New Roman" w:cs="Times New Roman"/>
          <w:sz w:val="24"/>
          <w:szCs w:val="24"/>
        </w:rPr>
        <w:t xml:space="preserve">range of </w:t>
      </w:r>
      <w:r w:rsidRPr="00B04A17">
        <w:rPr>
          <w:rFonts w:ascii="Times New Roman" w:hAnsi="Times New Roman" w:cs="Times New Roman"/>
          <w:sz w:val="24"/>
          <w:szCs w:val="24"/>
        </w:rPr>
        <w:t>shock facilities.</w:t>
      </w:r>
    </w:p>
    <w:p w:rsidR="001C252C" w:rsidRPr="00203F3F" w:rsidRDefault="001C252C" w:rsidP="00084DE6">
      <w:pPr>
        <w:tabs>
          <w:tab w:val="left" w:pos="567"/>
        </w:tabs>
        <w:autoSpaceDE w:val="0"/>
        <w:autoSpaceDN w:val="0"/>
        <w:adjustRightInd w:val="0"/>
        <w:spacing w:after="0" w:line="240" w:lineRule="auto"/>
        <w:jc w:val="both"/>
        <w:rPr>
          <w:rFonts w:cstheme="minorHAnsi"/>
          <w:b/>
          <w:sz w:val="24"/>
          <w:szCs w:val="24"/>
        </w:rPr>
      </w:pPr>
    </w:p>
    <w:p w:rsidR="00B962D3" w:rsidRDefault="00A563A3" w:rsidP="005F6851">
      <w:pPr>
        <w:pStyle w:val="ListParagraph"/>
        <w:numPr>
          <w:ilvl w:val="0"/>
          <w:numId w:val="29"/>
        </w:numPr>
        <w:tabs>
          <w:tab w:val="left" w:pos="567"/>
        </w:tabs>
        <w:spacing w:after="0" w:line="240" w:lineRule="auto"/>
        <w:ind w:left="0" w:firstLine="0"/>
        <w:jc w:val="both"/>
        <w:rPr>
          <w:rFonts w:ascii="Times New Roman" w:hAnsi="Times New Roman" w:cs="Times New Roman"/>
          <w:sz w:val="24"/>
          <w:szCs w:val="24"/>
        </w:rPr>
      </w:pPr>
      <w:r w:rsidRPr="00466637">
        <w:rPr>
          <w:rFonts w:ascii="Times New Roman" w:hAnsi="Times New Roman" w:cs="Times New Roman"/>
          <w:sz w:val="24"/>
          <w:szCs w:val="24"/>
        </w:rPr>
        <w:t xml:space="preserve">Beyond strengthening the design of existing facilities and </w:t>
      </w:r>
      <w:r w:rsidRPr="0024560A">
        <w:rPr>
          <w:rFonts w:ascii="Times New Roman" w:hAnsi="Times New Roman" w:cs="Times New Roman"/>
          <w:sz w:val="24"/>
          <w:szCs w:val="24"/>
        </w:rPr>
        <w:t>developing new shock instruments, a new challenge is</w:t>
      </w:r>
      <w:r w:rsidR="00D442AA" w:rsidRPr="000C4D37">
        <w:rPr>
          <w:rFonts w:ascii="Times New Roman" w:hAnsi="Times New Roman" w:cs="Times New Roman"/>
          <w:sz w:val="24"/>
          <w:szCs w:val="24"/>
        </w:rPr>
        <w:t xml:space="preserve"> also</w:t>
      </w:r>
      <w:r w:rsidRPr="008C5382">
        <w:rPr>
          <w:rFonts w:ascii="Times New Roman" w:hAnsi="Times New Roman" w:cs="Times New Roman"/>
          <w:sz w:val="24"/>
          <w:szCs w:val="24"/>
        </w:rPr>
        <w:t xml:space="preserve"> emerging, which if not addressed </w:t>
      </w:r>
      <w:r w:rsidRPr="00B04A17">
        <w:rPr>
          <w:rFonts w:ascii="Times New Roman" w:hAnsi="Times New Roman" w:cs="Times New Roman"/>
          <w:sz w:val="24"/>
          <w:szCs w:val="24"/>
        </w:rPr>
        <w:t xml:space="preserve">will result in a significant reduction in aggregate concessional financing </w:t>
      </w:r>
      <w:r w:rsidR="005B7857" w:rsidRPr="00B04A17">
        <w:rPr>
          <w:rFonts w:ascii="Times New Roman" w:hAnsi="Times New Roman" w:cs="Times New Roman"/>
          <w:sz w:val="24"/>
          <w:szCs w:val="24"/>
        </w:rPr>
        <w:t xml:space="preserve">available to Commonwealth and other developing countries. </w:t>
      </w:r>
      <w:r w:rsidR="00977D46">
        <w:rPr>
          <w:rFonts w:ascii="Times New Roman" w:hAnsi="Times New Roman" w:cs="Times New Roman"/>
          <w:sz w:val="24"/>
          <w:szCs w:val="24"/>
        </w:rPr>
        <w:t xml:space="preserve"> </w:t>
      </w:r>
      <w:r w:rsidR="00482756" w:rsidRPr="00B04A17">
        <w:rPr>
          <w:rFonts w:ascii="Times New Roman" w:hAnsi="Times New Roman" w:cs="Times New Roman"/>
          <w:b/>
          <w:sz w:val="24"/>
          <w:szCs w:val="24"/>
        </w:rPr>
        <w:t xml:space="preserve">Section </w:t>
      </w:r>
      <w:r w:rsidR="00C22938">
        <w:rPr>
          <w:rFonts w:ascii="Times New Roman" w:hAnsi="Times New Roman" w:cs="Times New Roman"/>
          <w:b/>
          <w:sz w:val="24"/>
          <w:szCs w:val="24"/>
        </w:rPr>
        <w:t>3</w:t>
      </w:r>
      <w:r w:rsidR="00482756" w:rsidRPr="00466637">
        <w:rPr>
          <w:rFonts w:ascii="Times New Roman" w:hAnsi="Times New Roman" w:cs="Times New Roman"/>
          <w:sz w:val="24"/>
          <w:szCs w:val="24"/>
        </w:rPr>
        <w:t xml:space="preserve"> examines this challenge, which </w:t>
      </w:r>
      <w:r w:rsidR="005B7857" w:rsidRPr="0024560A">
        <w:rPr>
          <w:rFonts w:ascii="Times New Roman" w:hAnsi="Times New Roman" w:cs="Times New Roman"/>
          <w:sz w:val="24"/>
          <w:szCs w:val="24"/>
        </w:rPr>
        <w:t xml:space="preserve">pertains to </w:t>
      </w:r>
      <w:r w:rsidR="005B7857" w:rsidRPr="000C4D37">
        <w:rPr>
          <w:rFonts w:ascii="Times New Roman" w:hAnsi="Times New Roman" w:cs="Times New Roman"/>
          <w:sz w:val="24"/>
          <w:szCs w:val="24"/>
        </w:rPr>
        <w:t>the</w:t>
      </w:r>
      <w:r w:rsidR="005B7857" w:rsidRPr="008C5382">
        <w:rPr>
          <w:rFonts w:ascii="Times New Roman" w:hAnsi="Times New Roman" w:cs="Times New Roman"/>
          <w:sz w:val="24"/>
          <w:szCs w:val="24"/>
        </w:rPr>
        <w:t xml:space="preserve"> </w:t>
      </w:r>
      <w:r w:rsidR="005B7857" w:rsidRPr="00B04A17">
        <w:rPr>
          <w:rFonts w:ascii="Times New Roman" w:hAnsi="Times New Roman" w:cs="Times New Roman"/>
          <w:sz w:val="24"/>
          <w:szCs w:val="24"/>
        </w:rPr>
        <w:t xml:space="preserve">need to replenish the subsidy element of the Poverty Reduction and Growth Trust </w:t>
      </w:r>
      <w:r w:rsidR="00C22938">
        <w:rPr>
          <w:rFonts w:ascii="Times New Roman" w:hAnsi="Times New Roman" w:cs="Times New Roman"/>
          <w:sz w:val="24"/>
          <w:szCs w:val="24"/>
        </w:rPr>
        <w:t>(PRG</w:t>
      </w:r>
      <w:r w:rsidR="00977D46">
        <w:rPr>
          <w:rFonts w:ascii="Times New Roman" w:hAnsi="Times New Roman" w:cs="Times New Roman"/>
          <w:sz w:val="24"/>
          <w:szCs w:val="24"/>
        </w:rPr>
        <w:t>T</w:t>
      </w:r>
      <w:r w:rsidR="00C22938">
        <w:rPr>
          <w:rFonts w:ascii="Times New Roman" w:hAnsi="Times New Roman" w:cs="Times New Roman"/>
          <w:sz w:val="24"/>
          <w:szCs w:val="24"/>
        </w:rPr>
        <w:t xml:space="preserve">) </w:t>
      </w:r>
      <w:r w:rsidR="005B7857" w:rsidRPr="00B04A17">
        <w:rPr>
          <w:rFonts w:ascii="Times New Roman" w:hAnsi="Times New Roman" w:cs="Times New Roman"/>
          <w:sz w:val="24"/>
          <w:szCs w:val="24"/>
        </w:rPr>
        <w:t xml:space="preserve">– the </w:t>
      </w:r>
      <w:r w:rsidR="00C22938">
        <w:rPr>
          <w:rFonts w:ascii="Times New Roman" w:hAnsi="Times New Roman" w:cs="Times New Roman"/>
          <w:sz w:val="24"/>
          <w:szCs w:val="24"/>
        </w:rPr>
        <w:t xml:space="preserve">fund </w:t>
      </w:r>
      <w:r w:rsidR="005B7857" w:rsidRPr="00B04A17">
        <w:rPr>
          <w:rFonts w:ascii="Times New Roman" w:hAnsi="Times New Roman" w:cs="Times New Roman"/>
          <w:sz w:val="24"/>
          <w:szCs w:val="24"/>
        </w:rPr>
        <w:t>which underpi</w:t>
      </w:r>
      <w:r w:rsidR="00FA39D4" w:rsidRPr="00B04A17">
        <w:rPr>
          <w:rFonts w:ascii="Times New Roman" w:hAnsi="Times New Roman" w:cs="Times New Roman"/>
          <w:sz w:val="24"/>
          <w:szCs w:val="24"/>
        </w:rPr>
        <w:t xml:space="preserve">ns IMF concessional support to </w:t>
      </w:r>
      <w:r w:rsidR="005B7857" w:rsidRPr="00B04A17">
        <w:rPr>
          <w:rFonts w:ascii="Times New Roman" w:hAnsi="Times New Roman" w:cs="Times New Roman"/>
          <w:sz w:val="24"/>
          <w:szCs w:val="24"/>
        </w:rPr>
        <w:t xml:space="preserve">its eligible developing countries. </w:t>
      </w:r>
      <w:r w:rsidR="00CF64A6" w:rsidRPr="00B04A17">
        <w:rPr>
          <w:rFonts w:ascii="Times New Roman" w:hAnsi="Times New Roman" w:cs="Times New Roman"/>
          <w:sz w:val="24"/>
          <w:szCs w:val="24"/>
        </w:rPr>
        <w:t xml:space="preserve">In the absence of substantial replenishment, this is set to fall away significantly from 2014, in turn potentially significantly reducing </w:t>
      </w:r>
      <w:r w:rsidR="00C22938">
        <w:rPr>
          <w:rFonts w:ascii="Times New Roman" w:hAnsi="Times New Roman" w:cs="Times New Roman"/>
          <w:sz w:val="24"/>
          <w:szCs w:val="24"/>
        </w:rPr>
        <w:t xml:space="preserve">concessional funding including </w:t>
      </w:r>
      <w:r w:rsidR="00CF64A6" w:rsidRPr="00B04A17">
        <w:rPr>
          <w:rFonts w:ascii="Times New Roman" w:hAnsi="Times New Roman" w:cs="Times New Roman"/>
          <w:sz w:val="24"/>
          <w:szCs w:val="24"/>
        </w:rPr>
        <w:t xml:space="preserve">crucially-needed access to IMF shock financing. The paper </w:t>
      </w:r>
      <w:r w:rsidR="00FA39D4">
        <w:rPr>
          <w:rFonts w:ascii="Times New Roman" w:hAnsi="Times New Roman" w:cs="Times New Roman"/>
          <w:sz w:val="24"/>
          <w:szCs w:val="24"/>
        </w:rPr>
        <w:t>considers how Commonwealth members supported by the Secretariat can build consensus and potential Commonwealth advocacy, on reforms which strengthen the exogenous shocks architecture.</w:t>
      </w:r>
      <w:r w:rsidR="00B96176">
        <w:rPr>
          <w:rFonts w:ascii="Times New Roman" w:hAnsi="Times New Roman" w:cs="Times New Roman"/>
          <w:sz w:val="24"/>
          <w:szCs w:val="24"/>
        </w:rPr>
        <w:t xml:space="preserve"> </w:t>
      </w:r>
      <w:r w:rsidR="00B962D3" w:rsidRPr="00B04A17">
        <w:rPr>
          <w:rFonts w:ascii="Times New Roman" w:hAnsi="Times New Roman" w:cs="Times New Roman"/>
          <w:b/>
          <w:sz w:val="24"/>
          <w:szCs w:val="24"/>
        </w:rPr>
        <w:t>S</w:t>
      </w:r>
      <w:r w:rsidR="00FA39D4" w:rsidRPr="00B04A17">
        <w:rPr>
          <w:rFonts w:ascii="Times New Roman" w:hAnsi="Times New Roman" w:cs="Times New Roman"/>
          <w:b/>
          <w:sz w:val="24"/>
          <w:szCs w:val="24"/>
        </w:rPr>
        <w:t>ection</w:t>
      </w:r>
      <w:r w:rsidR="00B96176">
        <w:rPr>
          <w:rFonts w:ascii="Times New Roman" w:hAnsi="Times New Roman" w:cs="Times New Roman"/>
          <w:b/>
          <w:sz w:val="24"/>
          <w:szCs w:val="24"/>
        </w:rPr>
        <w:t xml:space="preserve"> </w:t>
      </w:r>
      <w:r w:rsidR="00C22938">
        <w:rPr>
          <w:rFonts w:ascii="Times New Roman" w:hAnsi="Times New Roman" w:cs="Times New Roman"/>
          <w:b/>
          <w:sz w:val="24"/>
          <w:szCs w:val="24"/>
        </w:rPr>
        <w:t>4</w:t>
      </w:r>
      <w:r w:rsidR="00B96176">
        <w:rPr>
          <w:rFonts w:ascii="Times New Roman" w:hAnsi="Times New Roman" w:cs="Times New Roman"/>
          <w:sz w:val="24"/>
          <w:szCs w:val="24"/>
        </w:rPr>
        <w:t xml:space="preserve"> </w:t>
      </w:r>
      <w:r w:rsidR="00B962D3">
        <w:rPr>
          <w:rFonts w:ascii="Times New Roman" w:hAnsi="Times New Roman" w:cs="Times New Roman"/>
          <w:sz w:val="24"/>
          <w:szCs w:val="24"/>
        </w:rPr>
        <w:t>concludes. Key issues and questions are raised for Ministers</w:t>
      </w:r>
      <w:r w:rsidR="008E10B3">
        <w:rPr>
          <w:rFonts w:ascii="Times New Roman" w:hAnsi="Times New Roman" w:cs="Times New Roman"/>
          <w:sz w:val="24"/>
          <w:szCs w:val="24"/>
        </w:rPr>
        <w:t>’</w:t>
      </w:r>
      <w:r w:rsidR="00B962D3">
        <w:rPr>
          <w:rFonts w:ascii="Times New Roman" w:hAnsi="Times New Roman" w:cs="Times New Roman"/>
          <w:sz w:val="24"/>
          <w:szCs w:val="24"/>
        </w:rPr>
        <w:t xml:space="preserve"> consideration throughout the paper.</w:t>
      </w:r>
    </w:p>
    <w:p w:rsidR="00332F30" w:rsidRPr="00E12CEA" w:rsidRDefault="00332F30" w:rsidP="00084DE6">
      <w:pPr>
        <w:tabs>
          <w:tab w:val="left" w:pos="567"/>
        </w:tabs>
        <w:autoSpaceDE w:val="0"/>
        <w:autoSpaceDN w:val="0"/>
        <w:adjustRightInd w:val="0"/>
        <w:spacing w:after="0" w:line="240" w:lineRule="auto"/>
        <w:jc w:val="both"/>
        <w:rPr>
          <w:rFonts w:cstheme="minorHAnsi"/>
          <w:i/>
          <w:sz w:val="18"/>
          <w:szCs w:val="18"/>
        </w:rPr>
      </w:pPr>
    </w:p>
    <w:p w:rsidR="001D6E29" w:rsidRPr="005F6851" w:rsidRDefault="002F1A27" w:rsidP="008E10B3">
      <w:pPr>
        <w:pStyle w:val="ListParagraph"/>
        <w:numPr>
          <w:ilvl w:val="0"/>
          <w:numId w:val="30"/>
        </w:numPr>
        <w:spacing w:after="0" w:line="240" w:lineRule="auto"/>
        <w:ind w:left="0" w:hanging="11"/>
        <w:jc w:val="both"/>
        <w:rPr>
          <w:rFonts w:ascii="Times New Roman" w:hAnsi="Times New Roman" w:cs="Times New Roman"/>
          <w:b/>
          <w:bCs/>
          <w:iCs/>
          <w:sz w:val="28"/>
          <w:szCs w:val="28"/>
        </w:rPr>
      </w:pPr>
      <w:bookmarkStart w:id="0" w:name="_Toc278295610"/>
      <w:bookmarkStart w:id="1" w:name="_Toc278847604"/>
      <w:r w:rsidRPr="005F6851">
        <w:rPr>
          <w:rFonts w:ascii="Times New Roman" w:hAnsi="Times New Roman" w:cs="Times New Roman"/>
          <w:b/>
          <w:bCs/>
          <w:iCs/>
          <w:sz w:val="28"/>
          <w:szCs w:val="28"/>
        </w:rPr>
        <w:t>I</w:t>
      </w:r>
      <w:r w:rsidR="00FA39D4" w:rsidRPr="005F6851">
        <w:rPr>
          <w:rFonts w:ascii="Times New Roman" w:hAnsi="Times New Roman" w:cs="Times New Roman"/>
          <w:b/>
          <w:bCs/>
          <w:iCs/>
          <w:sz w:val="28"/>
          <w:szCs w:val="28"/>
        </w:rPr>
        <w:t xml:space="preserve">FI Shock Facilities </w:t>
      </w:r>
      <w:r w:rsidR="001D6E29" w:rsidRPr="005F6851">
        <w:rPr>
          <w:rFonts w:ascii="Times New Roman" w:hAnsi="Times New Roman" w:cs="Times New Roman"/>
          <w:b/>
          <w:bCs/>
          <w:iCs/>
          <w:sz w:val="28"/>
          <w:szCs w:val="28"/>
        </w:rPr>
        <w:t xml:space="preserve">– Overall </w:t>
      </w:r>
      <w:r w:rsidR="00FA39D4" w:rsidRPr="005F6851">
        <w:rPr>
          <w:rFonts w:ascii="Times New Roman" w:hAnsi="Times New Roman" w:cs="Times New Roman"/>
          <w:b/>
          <w:bCs/>
          <w:iCs/>
          <w:sz w:val="28"/>
          <w:szCs w:val="28"/>
        </w:rPr>
        <w:t>R</w:t>
      </w:r>
      <w:r w:rsidRPr="005F6851">
        <w:rPr>
          <w:rFonts w:ascii="Times New Roman" w:hAnsi="Times New Roman" w:cs="Times New Roman"/>
          <w:b/>
          <w:bCs/>
          <w:iCs/>
          <w:sz w:val="28"/>
          <w:szCs w:val="28"/>
        </w:rPr>
        <w:t xml:space="preserve">esponses to the </w:t>
      </w:r>
      <w:r w:rsidR="001D6E29" w:rsidRPr="005F6851">
        <w:rPr>
          <w:rFonts w:ascii="Times New Roman" w:hAnsi="Times New Roman" w:cs="Times New Roman"/>
          <w:b/>
          <w:bCs/>
          <w:iCs/>
          <w:sz w:val="28"/>
          <w:szCs w:val="28"/>
        </w:rPr>
        <w:t>F</w:t>
      </w:r>
      <w:r w:rsidRPr="005F6851">
        <w:rPr>
          <w:rFonts w:ascii="Times New Roman" w:hAnsi="Times New Roman" w:cs="Times New Roman"/>
          <w:b/>
          <w:bCs/>
          <w:iCs/>
          <w:sz w:val="28"/>
          <w:szCs w:val="28"/>
        </w:rPr>
        <w:t xml:space="preserve">inancial </w:t>
      </w:r>
      <w:r w:rsidR="001D6E29" w:rsidRPr="005F6851">
        <w:rPr>
          <w:rFonts w:ascii="Times New Roman" w:hAnsi="Times New Roman" w:cs="Times New Roman"/>
          <w:b/>
          <w:bCs/>
          <w:iCs/>
          <w:sz w:val="28"/>
          <w:szCs w:val="28"/>
        </w:rPr>
        <w:t>C</w:t>
      </w:r>
      <w:r w:rsidRPr="005F6851">
        <w:rPr>
          <w:rFonts w:ascii="Times New Roman" w:hAnsi="Times New Roman" w:cs="Times New Roman"/>
          <w:b/>
          <w:bCs/>
          <w:iCs/>
          <w:sz w:val="28"/>
          <w:szCs w:val="28"/>
        </w:rPr>
        <w:t>risis</w:t>
      </w:r>
      <w:bookmarkEnd w:id="0"/>
      <w:bookmarkEnd w:id="1"/>
    </w:p>
    <w:p w:rsidR="004A52AA" w:rsidRPr="00E12CEA" w:rsidRDefault="004A52AA" w:rsidP="00E12CEA">
      <w:pPr>
        <w:spacing w:after="0" w:line="240" w:lineRule="auto"/>
        <w:jc w:val="both"/>
        <w:rPr>
          <w:rFonts w:ascii="Times New Roman" w:hAnsi="Times New Roman" w:cs="Times New Roman"/>
          <w:b/>
          <w:bCs/>
          <w:iCs/>
          <w:sz w:val="24"/>
          <w:szCs w:val="24"/>
        </w:rPr>
      </w:pPr>
    </w:p>
    <w:p w:rsidR="00290A00" w:rsidRDefault="00FA39D4" w:rsidP="00B96176">
      <w:pPr>
        <w:pStyle w:val="ListParagraph"/>
        <w:numPr>
          <w:ilvl w:val="0"/>
          <w:numId w:val="29"/>
        </w:numPr>
        <w:tabs>
          <w:tab w:val="left" w:pos="567"/>
        </w:tabs>
        <w:spacing w:after="0" w:line="240" w:lineRule="auto"/>
        <w:ind w:left="0" w:right="4" w:firstLine="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w:t>
      </w:r>
      <w:r w:rsidR="00B95C3A" w:rsidRPr="00E12CEA">
        <w:rPr>
          <w:rFonts w:ascii="Times New Roman" w:eastAsiaTheme="minorHAnsi" w:hAnsi="Times New Roman" w:cs="Times New Roman"/>
          <w:sz w:val="24"/>
          <w:szCs w:val="24"/>
        </w:rPr>
        <w:t xml:space="preserve">nternational </w:t>
      </w:r>
      <w:r>
        <w:rPr>
          <w:rFonts w:ascii="Times New Roman" w:eastAsiaTheme="minorHAnsi" w:hAnsi="Times New Roman" w:cs="Times New Roman"/>
          <w:sz w:val="24"/>
          <w:szCs w:val="24"/>
        </w:rPr>
        <w:t>F</w:t>
      </w:r>
      <w:r w:rsidR="00B95C3A" w:rsidRPr="00E12CEA">
        <w:rPr>
          <w:rFonts w:ascii="Times New Roman" w:eastAsiaTheme="minorHAnsi" w:hAnsi="Times New Roman" w:cs="Times New Roman"/>
          <w:sz w:val="24"/>
          <w:szCs w:val="24"/>
        </w:rPr>
        <w:t xml:space="preserve">inancial </w:t>
      </w:r>
      <w:r>
        <w:rPr>
          <w:rFonts w:ascii="Times New Roman" w:eastAsiaTheme="minorHAnsi" w:hAnsi="Times New Roman" w:cs="Times New Roman"/>
          <w:sz w:val="24"/>
          <w:szCs w:val="24"/>
        </w:rPr>
        <w:t>I</w:t>
      </w:r>
      <w:r w:rsidR="00B95C3A" w:rsidRPr="00E12CEA">
        <w:rPr>
          <w:rFonts w:ascii="Times New Roman" w:eastAsiaTheme="minorHAnsi" w:hAnsi="Times New Roman" w:cs="Times New Roman"/>
          <w:sz w:val="24"/>
          <w:szCs w:val="24"/>
        </w:rPr>
        <w:t>nstitutions</w:t>
      </w:r>
      <w:r w:rsidR="00451F32" w:rsidRPr="00E12CEA">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(IFIs - i</w:t>
      </w:r>
      <w:r w:rsidR="00B95C3A" w:rsidRPr="00E12CEA">
        <w:rPr>
          <w:rFonts w:ascii="Times New Roman" w:eastAsiaTheme="minorHAnsi" w:hAnsi="Times New Roman" w:cs="Times New Roman"/>
          <w:sz w:val="24"/>
          <w:szCs w:val="24"/>
        </w:rPr>
        <w:t>ncluding the IM</w:t>
      </w:r>
      <w:r w:rsidR="00451F32" w:rsidRPr="00E12CEA">
        <w:rPr>
          <w:rFonts w:ascii="Times New Roman" w:eastAsiaTheme="minorHAnsi" w:hAnsi="Times New Roman" w:cs="Times New Roman"/>
          <w:sz w:val="24"/>
          <w:szCs w:val="24"/>
        </w:rPr>
        <w:t xml:space="preserve">F, World Bank and the Regional </w:t>
      </w:r>
      <w:r w:rsidR="00B95C3A" w:rsidRPr="00E12CEA">
        <w:rPr>
          <w:rFonts w:ascii="Times New Roman" w:eastAsiaTheme="minorHAnsi" w:hAnsi="Times New Roman" w:cs="Times New Roman"/>
          <w:sz w:val="24"/>
          <w:szCs w:val="24"/>
        </w:rPr>
        <w:t>development Banks</w:t>
      </w:r>
      <w:r w:rsidR="00451F32" w:rsidRPr="00E12CEA">
        <w:rPr>
          <w:rFonts w:ascii="Times New Roman" w:eastAsiaTheme="minorHAnsi" w:hAnsi="Times New Roman" w:cs="Times New Roman"/>
          <w:sz w:val="24"/>
          <w:szCs w:val="24"/>
        </w:rPr>
        <w:t>)</w:t>
      </w:r>
      <w:r w:rsidR="00B95C3A" w:rsidRPr="00E12CEA">
        <w:rPr>
          <w:rFonts w:ascii="Times New Roman" w:eastAsiaTheme="minorHAnsi" w:hAnsi="Times New Roman" w:cs="Times New Roman"/>
          <w:sz w:val="24"/>
          <w:szCs w:val="24"/>
        </w:rPr>
        <w:t xml:space="preserve"> increased their lending </w:t>
      </w:r>
      <w:r w:rsidR="00962440" w:rsidRPr="00E12CEA">
        <w:rPr>
          <w:rFonts w:ascii="Times New Roman" w:eastAsiaTheme="minorHAnsi" w:hAnsi="Times New Roman" w:cs="Times New Roman"/>
          <w:sz w:val="24"/>
          <w:szCs w:val="24"/>
        </w:rPr>
        <w:t xml:space="preserve">to developing countries </w:t>
      </w:r>
      <w:r w:rsidR="00B95C3A" w:rsidRPr="00E12CEA">
        <w:rPr>
          <w:rFonts w:ascii="Times New Roman" w:eastAsiaTheme="minorHAnsi" w:hAnsi="Times New Roman" w:cs="Times New Roman"/>
          <w:sz w:val="24"/>
          <w:szCs w:val="24"/>
        </w:rPr>
        <w:t>very significantly as a response to the major crisis that started in 2007</w:t>
      </w:r>
      <w:r>
        <w:rPr>
          <w:rFonts w:ascii="Times New Roman" w:eastAsiaTheme="minorHAnsi" w:hAnsi="Times New Roman" w:cs="Times New Roman"/>
          <w:sz w:val="24"/>
          <w:szCs w:val="24"/>
        </w:rPr>
        <w:t xml:space="preserve"> (Figure 3). T</w:t>
      </w:r>
      <w:r w:rsidR="00B95C3A" w:rsidRPr="00E12CEA">
        <w:rPr>
          <w:rFonts w:ascii="Times New Roman" w:eastAsiaTheme="minorHAnsi" w:hAnsi="Times New Roman" w:cs="Times New Roman"/>
          <w:sz w:val="24"/>
          <w:szCs w:val="24"/>
        </w:rPr>
        <w:t xml:space="preserve">otal lending </w:t>
      </w:r>
      <w:r w:rsidR="0037391E" w:rsidRPr="00E12CEA">
        <w:rPr>
          <w:rFonts w:ascii="Times New Roman" w:eastAsiaTheme="minorHAnsi" w:hAnsi="Times New Roman" w:cs="Times New Roman"/>
          <w:sz w:val="24"/>
          <w:szCs w:val="24"/>
        </w:rPr>
        <w:t xml:space="preserve">commitments </w:t>
      </w:r>
      <w:r w:rsidR="00B95C3A" w:rsidRPr="00E12CEA">
        <w:rPr>
          <w:rFonts w:ascii="Times New Roman" w:eastAsiaTheme="minorHAnsi" w:hAnsi="Times New Roman" w:cs="Times New Roman"/>
          <w:sz w:val="24"/>
          <w:szCs w:val="24"/>
        </w:rPr>
        <w:t xml:space="preserve">to developing countries jumped dramatically from </w:t>
      </w:r>
      <w:r w:rsidR="0037391E" w:rsidRPr="00E12CEA">
        <w:rPr>
          <w:rFonts w:ascii="Times New Roman" w:eastAsiaTheme="minorHAnsi" w:hAnsi="Times New Roman" w:cs="Times New Roman"/>
          <w:sz w:val="24"/>
          <w:szCs w:val="24"/>
        </w:rPr>
        <w:t xml:space="preserve">around $50 billion in 2007 </w:t>
      </w:r>
      <w:r w:rsidR="0037391E" w:rsidRPr="00E12CEA">
        <w:rPr>
          <w:rFonts w:ascii="Times New Roman" w:eastAsiaTheme="minorHAnsi" w:hAnsi="Times New Roman" w:cs="Times New Roman"/>
          <w:sz w:val="24"/>
          <w:szCs w:val="24"/>
        </w:rPr>
        <w:lastRenderedPageBreak/>
        <w:t xml:space="preserve">to around $175 billion in 2009 </w:t>
      </w:r>
      <w:r w:rsidR="00C22938">
        <w:rPr>
          <w:rFonts w:ascii="Times New Roman" w:eastAsiaTheme="minorHAnsi" w:hAnsi="Times New Roman" w:cs="Times New Roman"/>
          <w:sz w:val="24"/>
          <w:szCs w:val="24"/>
        </w:rPr>
        <w:t>and thereafter</w:t>
      </w:r>
      <w:r w:rsidR="00233DE4">
        <w:rPr>
          <w:rFonts w:ascii="Times New Roman" w:eastAsiaTheme="minorHAnsi" w:hAnsi="Times New Roman" w:cs="Times New Roman"/>
          <w:sz w:val="24"/>
          <w:szCs w:val="24"/>
        </w:rPr>
        <w:t xml:space="preserve"> </w:t>
      </w:r>
      <w:r w:rsidR="0037391E" w:rsidRPr="00E12CEA">
        <w:rPr>
          <w:rFonts w:ascii="Times New Roman" w:eastAsiaTheme="minorHAnsi" w:hAnsi="Times New Roman" w:cs="Times New Roman"/>
          <w:sz w:val="24"/>
          <w:szCs w:val="24"/>
        </w:rPr>
        <w:t>to an average of just over $200 billion annually in 2010-2011</w:t>
      </w:r>
      <w:r>
        <w:rPr>
          <w:rFonts w:ascii="Times New Roman" w:eastAsiaTheme="minorHAnsi" w:hAnsi="Times New Roman" w:cs="Times New Roman"/>
          <w:sz w:val="24"/>
          <w:szCs w:val="24"/>
        </w:rPr>
        <w:t>, resulting in a quadrupling of t</w:t>
      </w:r>
      <w:r w:rsidR="0037391E" w:rsidRPr="00E12CEA">
        <w:rPr>
          <w:rFonts w:ascii="Times New Roman" w:eastAsiaTheme="minorHAnsi" w:hAnsi="Times New Roman" w:cs="Times New Roman"/>
          <w:sz w:val="24"/>
          <w:szCs w:val="24"/>
        </w:rPr>
        <w:t>otal lending commitments between 2007 and 2010-2011</w:t>
      </w:r>
      <w:r w:rsidR="00671C3E" w:rsidRPr="00E12CEA">
        <w:rPr>
          <w:rFonts w:ascii="Times New Roman" w:eastAsiaTheme="minorHAnsi" w:hAnsi="Times New Roman" w:cs="Times New Roman"/>
          <w:sz w:val="24"/>
          <w:szCs w:val="24"/>
        </w:rPr>
        <w:t>.</w:t>
      </w:r>
      <w:r w:rsidR="00666FC6" w:rsidRPr="00E12CEA">
        <w:rPr>
          <w:rFonts w:ascii="Times New Roman" w:eastAsiaTheme="minorHAnsi" w:hAnsi="Times New Roman" w:cs="Times New Roman"/>
          <w:sz w:val="24"/>
          <w:szCs w:val="24"/>
        </w:rPr>
        <w:t xml:space="preserve"> Particularly large was the increase in IMF lending during those years</w:t>
      </w:r>
      <w:r w:rsidR="00671C3E" w:rsidRPr="00E12CEA">
        <w:rPr>
          <w:rFonts w:ascii="Times New Roman" w:eastAsiaTheme="minorHAnsi" w:hAnsi="Times New Roman" w:cs="Times New Roman"/>
          <w:sz w:val="24"/>
          <w:szCs w:val="24"/>
        </w:rPr>
        <w:t>.</w:t>
      </w:r>
    </w:p>
    <w:p w:rsidR="00290A00" w:rsidRPr="00B04A17" w:rsidRDefault="00290A00" w:rsidP="00B96176">
      <w:pPr>
        <w:tabs>
          <w:tab w:val="left" w:pos="567"/>
        </w:tabs>
        <w:spacing w:after="0" w:line="240" w:lineRule="auto"/>
        <w:ind w:right="4"/>
        <w:jc w:val="both"/>
        <w:rPr>
          <w:rFonts w:ascii="Times New Roman" w:eastAsiaTheme="minorHAnsi" w:hAnsi="Times New Roman" w:cs="Times New Roman"/>
          <w:sz w:val="24"/>
          <w:szCs w:val="24"/>
        </w:rPr>
      </w:pPr>
    </w:p>
    <w:p w:rsidR="007F6388" w:rsidRPr="00B04A17" w:rsidRDefault="00671C3E" w:rsidP="00B96176">
      <w:pPr>
        <w:pStyle w:val="ListParagraph"/>
        <w:numPr>
          <w:ilvl w:val="0"/>
          <w:numId w:val="29"/>
        </w:numPr>
        <w:tabs>
          <w:tab w:val="left" w:pos="567"/>
        </w:tabs>
        <w:spacing w:line="240" w:lineRule="auto"/>
        <w:ind w:left="0" w:right="4" w:firstLine="0"/>
        <w:jc w:val="both"/>
        <w:rPr>
          <w:rFonts w:ascii="Times New Roman" w:hAnsi="Times New Roman" w:cs="Times New Roman"/>
          <w:sz w:val="24"/>
          <w:szCs w:val="24"/>
        </w:rPr>
      </w:pPr>
      <w:r w:rsidRPr="00B04A17">
        <w:rPr>
          <w:rFonts w:ascii="Times New Roman" w:hAnsi="Times New Roman" w:cs="Times New Roman"/>
          <w:b/>
          <w:sz w:val="24"/>
          <w:szCs w:val="24"/>
        </w:rPr>
        <w:t>The IFIs response was very large and positive, especially for MICs and for commitments.</w:t>
      </w:r>
      <w:r w:rsidRPr="00B04A17">
        <w:rPr>
          <w:rFonts w:ascii="Times New Roman" w:hAnsi="Times New Roman" w:cs="Times New Roman"/>
          <w:sz w:val="24"/>
          <w:szCs w:val="24"/>
        </w:rPr>
        <w:t xml:space="preserve">  It covered for example quite a large proportion of ACP countries’ export shortfalls, especially in 2007 and 2008 (see Table 6 below). Though counterfactuals are always difficult, the large compensatory and generally counter-cyclical IFI lending, combined with the existence of valuable buffers in developing countries</w:t>
      </w:r>
      <w:r w:rsidR="00233DE4">
        <w:rPr>
          <w:rFonts w:ascii="Times New Roman" w:hAnsi="Times New Roman" w:cs="Times New Roman"/>
          <w:sz w:val="24"/>
          <w:szCs w:val="24"/>
        </w:rPr>
        <w:t xml:space="preserve"> including </w:t>
      </w:r>
      <w:r w:rsidRPr="00B04A17">
        <w:rPr>
          <w:rFonts w:ascii="Times New Roman" w:hAnsi="Times New Roman" w:cs="Times New Roman"/>
          <w:sz w:val="24"/>
          <w:szCs w:val="24"/>
        </w:rPr>
        <w:t>high fiscal space, in many cases high levels of reserves, and lower levels of external debt</w:t>
      </w:r>
      <w:r w:rsidR="00233DE4">
        <w:rPr>
          <w:rFonts w:ascii="Times New Roman" w:hAnsi="Times New Roman" w:cs="Times New Roman"/>
          <w:sz w:val="24"/>
          <w:szCs w:val="24"/>
        </w:rPr>
        <w:t xml:space="preserve"> </w:t>
      </w:r>
      <w:r w:rsidRPr="00B04A17">
        <w:rPr>
          <w:rFonts w:ascii="Times New Roman" w:hAnsi="Times New Roman" w:cs="Times New Roman"/>
          <w:sz w:val="24"/>
          <w:szCs w:val="24"/>
        </w:rPr>
        <w:t>helped limit growth declines in developing countries in the face of major external shocks. Indeed growth in LICs, which had averaged 6.5</w:t>
      </w:r>
      <w:r w:rsidR="007F6CE2">
        <w:rPr>
          <w:rFonts w:ascii="Times New Roman" w:hAnsi="Times New Roman" w:cs="Times New Roman"/>
          <w:sz w:val="24"/>
          <w:szCs w:val="24"/>
        </w:rPr>
        <w:t xml:space="preserve"> per cent</w:t>
      </w:r>
      <w:r w:rsidRPr="00B04A17">
        <w:rPr>
          <w:rFonts w:ascii="Times New Roman" w:hAnsi="Times New Roman" w:cs="Times New Roman"/>
          <w:sz w:val="24"/>
          <w:szCs w:val="24"/>
        </w:rPr>
        <w:t xml:space="preserve"> annually in 2005-2007, fell to 5.7</w:t>
      </w:r>
      <w:r w:rsidR="007F6CE2">
        <w:rPr>
          <w:rFonts w:ascii="Times New Roman" w:hAnsi="Times New Roman" w:cs="Times New Roman"/>
          <w:sz w:val="24"/>
          <w:szCs w:val="24"/>
        </w:rPr>
        <w:t xml:space="preserve"> per cent</w:t>
      </w:r>
      <w:r w:rsidRPr="00B04A17">
        <w:rPr>
          <w:rFonts w:ascii="Times New Roman" w:hAnsi="Times New Roman" w:cs="Times New Roman"/>
          <w:sz w:val="24"/>
          <w:szCs w:val="24"/>
        </w:rPr>
        <w:t xml:space="preserve"> in 2008 and to 4</w:t>
      </w:r>
      <w:r w:rsidR="00F93037">
        <w:rPr>
          <w:rFonts w:ascii="Times New Roman" w:hAnsi="Times New Roman" w:cs="Times New Roman"/>
          <w:sz w:val="24"/>
          <w:szCs w:val="24"/>
        </w:rPr>
        <w:t>.</w:t>
      </w:r>
      <w:r w:rsidRPr="00B04A17">
        <w:rPr>
          <w:rFonts w:ascii="Times New Roman" w:hAnsi="Times New Roman" w:cs="Times New Roman"/>
          <w:sz w:val="24"/>
          <w:szCs w:val="24"/>
        </w:rPr>
        <w:t>7</w:t>
      </w:r>
      <w:r w:rsidR="007F6CE2">
        <w:rPr>
          <w:rFonts w:ascii="Times New Roman" w:hAnsi="Times New Roman" w:cs="Times New Roman"/>
          <w:sz w:val="24"/>
          <w:szCs w:val="24"/>
        </w:rPr>
        <w:t xml:space="preserve"> per cent</w:t>
      </w:r>
      <w:r w:rsidRPr="00B04A17">
        <w:rPr>
          <w:rFonts w:ascii="Times New Roman" w:hAnsi="Times New Roman" w:cs="Times New Roman"/>
          <w:sz w:val="24"/>
          <w:szCs w:val="24"/>
        </w:rPr>
        <w:t xml:space="preserve"> in 2009, according to World Bank data; though undesirable, such a </w:t>
      </w:r>
      <w:r w:rsidR="00233DE4">
        <w:rPr>
          <w:rFonts w:ascii="Times New Roman" w:hAnsi="Times New Roman" w:cs="Times New Roman"/>
          <w:sz w:val="24"/>
          <w:szCs w:val="24"/>
        </w:rPr>
        <w:t xml:space="preserve">decline could have been worse </w:t>
      </w:r>
      <w:r w:rsidRPr="00B04A17">
        <w:rPr>
          <w:rFonts w:ascii="Times New Roman" w:hAnsi="Times New Roman" w:cs="Times New Roman"/>
          <w:sz w:val="24"/>
          <w:szCs w:val="24"/>
        </w:rPr>
        <w:t>given the magnitude of the shocks, and was followed by recovery to an average of 6.0</w:t>
      </w:r>
      <w:r w:rsidR="007F6CE2">
        <w:rPr>
          <w:rFonts w:ascii="Times New Roman" w:hAnsi="Times New Roman" w:cs="Times New Roman"/>
          <w:sz w:val="24"/>
          <w:szCs w:val="24"/>
        </w:rPr>
        <w:t xml:space="preserve"> per cent</w:t>
      </w:r>
      <w:r w:rsidRPr="00B04A17">
        <w:rPr>
          <w:rFonts w:ascii="Times New Roman" w:hAnsi="Times New Roman" w:cs="Times New Roman"/>
          <w:sz w:val="24"/>
          <w:szCs w:val="24"/>
        </w:rPr>
        <w:t xml:space="preserve"> growth in 2010-2011. </w:t>
      </w:r>
      <w:r w:rsidR="00F47B93" w:rsidRPr="00B04A17">
        <w:rPr>
          <w:rFonts w:ascii="Times New Roman" w:hAnsi="Times New Roman" w:cs="Times New Roman"/>
          <w:sz w:val="24"/>
          <w:szCs w:val="24"/>
        </w:rPr>
        <w:t xml:space="preserve">There </w:t>
      </w:r>
      <w:r w:rsidRPr="00B04A17">
        <w:rPr>
          <w:rFonts w:ascii="Times New Roman" w:hAnsi="Times New Roman" w:cs="Times New Roman"/>
          <w:sz w:val="24"/>
          <w:szCs w:val="24"/>
        </w:rPr>
        <w:t xml:space="preserve">were </w:t>
      </w:r>
      <w:r w:rsidR="00233DE4">
        <w:rPr>
          <w:rFonts w:ascii="Times New Roman" w:hAnsi="Times New Roman" w:cs="Times New Roman"/>
          <w:sz w:val="24"/>
          <w:szCs w:val="24"/>
        </w:rPr>
        <w:t xml:space="preserve">important </w:t>
      </w:r>
      <w:r w:rsidRPr="00B04A17">
        <w:rPr>
          <w:rFonts w:ascii="Times New Roman" w:hAnsi="Times New Roman" w:cs="Times New Roman"/>
          <w:sz w:val="24"/>
          <w:szCs w:val="24"/>
        </w:rPr>
        <w:t>exceptions to this evolution,</w:t>
      </w:r>
      <w:r w:rsidR="00F47B93" w:rsidRPr="00B04A17">
        <w:rPr>
          <w:rFonts w:ascii="Times New Roman" w:hAnsi="Times New Roman" w:cs="Times New Roman"/>
          <w:sz w:val="24"/>
          <w:szCs w:val="24"/>
        </w:rPr>
        <w:t xml:space="preserve"> discussed further below,</w:t>
      </w:r>
      <w:r w:rsidRPr="00B04A17">
        <w:rPr>
          <w:rFonts w:ascii="Times New Roman" w:hAnsi="Times New Roman" w:cs="Times New Roman"/>
          <w:sz w:val="24"/>
          <w:szCs w:val="24"/>
        </w:rPr>
        <w:t xml:space="preserve"> especially in countries particularly badly hit by external shocks or especially vulnerable to them. MICs growth was, however, more seriously hit by the international crisis, perhaps because </w:t>
      </w:r>
      <w:r w:rsidR="004870B0" w:rsidRPr="00B04A17">
        <w:rPr>
          <w:rFonts w:ascii="Times New Roman" w:hAnsi="Times New Roman" w:cs="Times New Roman"/>
          <w:sz w:val="24"/>
          <w:szCs w:val="24"/>
        </w:rPr>
        <w:t>MICs</w:t>
      </w:r>
      <w:r w:rsidRPr="00B04A17">
        <w:rPr>
          <w:rFonts w:ascii="Times New Roman" w:hAnsi="Times New Roman" w:cs="Times New Roman"/>
          <w:sz w:val="24"/>
          <w:szCs w:val="24"/>
        </w:rPr>
        <w:t xml:space="preserve"> are more closely integrated </w:t>
      </w:r>
      <w:r w:rsidR="004870B0" w:rsidRPr="00B04A17">
        <w:rPr>
          <w:rFonts w:ascii="Times New Roman" w:hAnsi="Times New Roman" w:cs="Times New Roman"/>
          <w:sz w:val="24"/>
          <w:szCs w:val="24"/>
        </w:rPr>
        <w:t>with</w:t>
      </w:r>
      <w:r w:rsidRPr="00B04A17">
        <w:rPr>
          <w:rFonts w:ascii="Times New Roman" w:hAnsi="Times New Roman" w:cs="Times New Roman"/>
          <w:sz w:val="24"/>
          <w:szCs w:val="24"/>
        </w:rPr>
        <w:t xml:space="preserve"> the international economy, especially via private capital flows; MIC growth, </w:t>
      </w:r>
      <w:r w:rsidR="009D40D9">
        <w:rPr>
          <w:rFonts w:ascii="Times New Roman" w:hAnsi="Times New Roman" w:cs="Times New Roman"/>
          <w:sz w:val="24"/>
          <w:szCs w:val="24"/>
        </w:rPr>
        <w:t xml:space="preserve">which </w:t>
      </w:r>
      <w:r w:rsidRPr="00B04A17">
        <w:rPr>
          <w:rFonts w:ascii="Times New Roman" w:hAnsi="Times New Roman" w:cs="Times New Roman"/>
          <w:sz w:val="24"/>
          <w:szCs w:val="24"/>
        </w:rPr>
        <w:t>reached 8.0</w:t>
      </w:r>
      <w:r w:rsidR="007F6CE2">
        <w:rPr>
          <w:rFonts w:ascii="Times New Roman" w:hAnsi="Times New Roman" w:cs="Times New Roman"/>
          <w:sz w:val="24"/>
          <w:szCs w:val="24"/>
        </w:rPr>
        <w:t xml:space="preserve"> per cent</w:t>
      </w:r>
      <w:r w:rsidRPr="00B04A17">
        <w:rPr>
          <w:rFonts w:ascii="Times New Roman" w:hAnsi="Times New Roman" w:cs="Times New Roman"/>
          <w:sz w:val="24"/>
          <w:szCs w:val="24"/>
        </w:rPr>
        <w:t xml:space="preserve"> annually in 2005-2007, fell to 5.7</w:t>
      </w:r>
      <w:r w:rsidR="007F6CE2">
        <w:rPr>
          <w:rFonts w:ascii="Times New Roman" w:hAnsi="Times New Roman" w:cs="Times New Roman"/>
          <w:sz w:val="24"/>
          <w:szCs w:val="24"/>
        </w:rPr>
        <w:t xml:space="preserve"> per cent</w:t>
      </w:r>
      <w:r w:rsidR="007F6CE2" w:rsidRPr="00B04A17">
        <w:rPr>
          <w:rFonts w:ascii="Times New Roman" w:hAnsi="Times New Roman" w:cs="Times New Roman"/>
          <w:sz w:val="24"/>
          <w:szCs w:val="24"/>
        </w:rPr>
        <w:t xml:space="preserve"> </w:t>
      </w:r>
      <w:r w:rsidRPr="00B04A17">
        <w:rPr>
          <w:rFonts w:ascii="Times New Roman" w:hAnsi="Times New Roman" w:cs="Times New Roman"/>
          <w:sz w:val="24"/>
          <w:szCs w:val="24"/>
        </w:rPr>
        <w:t>in 2008, and quite significantly to only 2.6</w:t>
      </w:r>
      <w:r w:rsidR="007F6CE2">
        <w:rPr>
          <w:rFonts w:ascii="Times New Roman" w:hAnsi="Times New Roman" w:cs="Times New Roman"/>
          <w:sz w:val="24"/>
          <w:szCs w:val="24"/>
        </w:rPr>
        <w:t xml:space="preserve"> per </w:t>
      </w:r>
      <w:r w:rsidR="00F93037">
        <w:rPr>
          <w:rFonts w:ascii="Times New Roman" w:hAnsi="Times New Roman" w:cs="Times New Roman"/>
          <w:sz w:val="24"/>
          <w:szCs w:val="24"/>
        </w:rPr>
        <w:t xml:space="preserve">cent </w:t>
      </w:r>
      <w:r w:rsidR="00F93037" w:rsidRPr="00B04A17">
        <w:rPr>
          <w:rFonts w:ascii="Times New Roman" w:hAnsi="Times New Roman" w:cs="Times New Roman"/>
          <w:sz w:val="24"/>
          <w:szCs w:val="24"/>
        </w:rPr>
        <w:t>in</w:t>
      </w:r>
      <w:r w:rsidRPr="00B04A17">
        <w:rPr>
          <w:rFonts w:ascii="Times New Roman" w:hAnsi="Times New Roman" w:cs="Times New Roman"/>
          <w:sz w:val="24"/>
          <w:szCs w:val="24"/>
        </w:rPr>
        <w:t xml:space="preserve"> 2009, though recovering to 7.0</w:t>
      </w:r>
      <w:r w:rsidR="007F6CE2">
        <w:rPr>
          <w:rFonts w:ascii="Times New Roman" w:hAnsi="Times New Roman" w:cs="Times New Roman"/>
          <w:sz w:val="24"/>
          <w:szCs w:val="24"/>
        </w:rPr>
        <w:t xml:space="preserve"> per cent</w:t>
      </w:r>
      <w:r w:rsidRPr="00B04A17">
        <w:rPr>
          <w:rFonts w:ascii="Times New Roman" w:hAnsi="Times New Roman" w:cs="Times New Roman"/>
          <w:sz w:val="24"/>
          <w:szCs w:val="24"/>
        </w:rPr>
        <w:t xml:space="preserve"> </w:t>
      </w:r>
      <w:r w:rsidR="00F93037" w:rsidRPr="00B04A17">
        <w:rPr>
          <w:rFonts w:ascii="Times New Roman" w:hAnsi="Times New Roman" w:cs="Times New Roman"/>
          <w:sz w:val="24"/>
          <w:szCs w:val="24"/>
        </w:rPr>
        <w:t>annually in</w:t>
      </w:r>
      <w:r w:rsidRPr="00B04A17">
        <w:rPr>
          <w:rFonts w:ascii="Times New Roman" w:hAnsi="Times New Roman" w:cs="Times New Roman"/>
          <w:sz w:val="24"/>
          <w:szCs w:val="24"/>
        </w:rPr>
        <w:t xml:space="preserve"> 2010-2011.</w:t>
      </w:r>
      <w:r w:rsidR="007F6388">
        <w:rPr>
          <w:rFonts w:ascii="Times New Roman" w:eastAsiaTheme="minorHAnsi" w:hAnsi="Times New Roman" w:cs="Times New Roman"/>
          <w:sz w:val="24"/>
          <w:szCs w:val="24"/>
        </w:rPr>
        <w:t xml:space="preserve"> </w:t>
      </w:r>
    </w:p>
    <w:p w:rsidR="007F6388" w:rsidRPr="00B04A17" w:rsidRDefault="007F6388" w:rsidP="00C35C6E">
      <w:pPr>
        <w:pStyle w:val="ListParagraph"/>
        <w:spacing w:after="0" w:line="240" w:lineRule="auto"/>
        <w:ind w:left="0"/>
        <w:jc w:val="both"/>
        <w:rPr>
          <w:rFonts w:ascii="Times New Roman" w:hAnsi="Times New Roman" w:cs="Times New Roman"/>
          <w:sz w:val="24"/>
          <w:szCs w:val="24"/>
        </w:rPr>
      </w:pPr>
    </w:p>
    <w:p w:rsidR="007F6388" w:rsidRDefault="00460021" w:rsidP="00357DDF">
      <w:pPr>
        <w:pStyle w:val="ListParagraph"/>
        <w:numPr>
          <w:ilvl w:val="0"/>
          <w:numId w:val="29"/>
        </w:numPr>
        <w:tabs>
          <w:tab w:val="left" w:pos="567"/>
        </w:tabs>
        <w:spacing w:after="0" w:line="240" w:lineRule="auto"/>
        <w:ind w:left="0" w:firstLine="0"/>
        <w:jc w:val="both"/>
        <w:rPr>
          <w:rFonts w:ascii="Times New Roman" w:eastAsiaTheme="minorHAnsi" w:hAnsi="Times New Roman" w:cs="Times New Roman"/>
          <w:sz w:val="24"/>
          <w:szCs w:val="24"/>
        </w:rPr>
      </w:pPr>
      <w:r w:rsidRPr="00290A00">
        <w:rPr>
          <w:rFonts w:ascii="Times New Roman" w:eastAsiaTheme="minorHAnsi" w:hAnsi="Times New Roman" w:cs="Times New Roman"/>
          <w:sz w:val="24"/>
          <w:szCs w:val="24"/>
        </w:rPr>
        <w:t xml:space="preserve">There are </w:t>
      </w:r>
      <w:r w:rsidR="00380A7B" w:rsidRPr="00290A00">
        <w:rPr>
          <w:rFonts w:ascii="Times New Roman" w:eastAsiaTheme="minorHAnsi" w:hAnsi="Times New Roman" w:cs="Times New Roman"/>
          <w:sz w:val="24"/>
          <w:szCs w:val="24"/>
        </w:rPr>
        <w:t>two</w:t>
      </w:r>
      <w:r w:rsidRPr="00290A00">
        <w:rPr>
          <w:rFonts w:ascii="Times New Roman" w:eastAsiaTheme="minorHAnsi" w:hAnsi="Times New Roman" w:cs="Times New Roman"/>
          <w:sz w:val="24"/>
          <w:szCs w:val="24"/>
        </w:rPr>
        <w:t xml:space="preserve"> important </w:t>
      </w:r>
      <w:r w:rsidR="0037391E" w:rsidRPr="00290A00">
        <w:rPr>
          <w:rFonts w:ascii="Times New Roman" w:eastAsiaTheme="minorHAnsi" w:hAnsi="Times New Roman" w:cs="Times New Roman"/>
          <w:sz w:val="24"/>
          <w:szCs w:val="24"/>
        </w:rPr>
        <w:t xml:space="preserve">caveats to this </w:t>
      </w:r>
      <w:r w:rsidR="00666FC6" w:rsidRPr="00290A00">
        <w:rPr>
          <w:rFonts w:ascii="Times New Roman" w:eastAsiaTheme="minorHAnsi" w:hAnsi="Times New Roman" w:cs="Times New Roman"/>
          <w:sz w:val="24"/>
          <w:szCs w:val="24"/>
        </w:rPr>
        <w:t xml:space="preserve">overall </w:t>
      </w:r>
      <w:r w:rsidR="0037391E" w:rsidRPr="00290A00">
        <w:rPr>
          <w:rFonts w:ascii="Times New Roman" w:eastAsiaTheme="minorHAnsi" w:hAnsi="Times New Roman" w:cs="Times New Roman"/>
          <w:sz w:val="24"/>
          <w:szCs w:val="24"/>
        </w:rPr>
        <w:t>fairly impressive response</w:t>
      </w:r>
      <w:r w:rsidR="00380A7B" w:rsidRPr="00290A00">
        <w:rPr>
          <w:rFonts w:ascii="Times New Roman" w:eastAsiaTheme="minorHAnsi" w:hAnsi="Times New Roman" w:cs="Times New Roman"/>
          <w:sz w:val="24"/>
          <w:szCs w:val="24"/>
        </w:rPr>
        <w:t xml:space="preserve"> to the crisis b</w:t>
      </w:r>
      <w:r w:rsidR="00380A7B" w:rsidRPr="00E12CEA">
        <w:rPr>
          <w:rFonts w:ascii="Times New Roman" w:eastAsiaTheme="minorHAnsi" w:hAnsi="Times New Roman" w:cs="Times New Roman"/>
          <w:sz w:val="24"/>
          <w:szCs w:val="24"/>
        </w:rPr>
        <w:t>y IFIs</w:t>
      </w:r>
      <w:r w:rsidR="0037391E" w:rsidRPr="00E12CEA">
        <w:rPr>
          <w:rFonts w:ascii="Times New Roman" w:eastAsiaTheme="minorHAnsi" w:hAnsi="Times New Roman" w:cs="Times New Roman"/>
          <w:sz w:val="24"/>
          <w:szCs w:val="24"/>
        </w:rPr>
        <w:t xml:space="preserve">. </w:t>
      </w:r>
      <w:r w:rsidRPr="00E12CEA">
        <w:rPr>
          <w:rFonts w:ascii="Times New Roman" w:eastAsiaTheme="minorHAnsi" w:hAnsi="Times New Roman" w:cs="Times New Roman"/>
          <w:sz w:val="24"/>
          <w:szCs w:val="24"/>
        </w:rPr>
        <w:t xml:space="preserve">Perhaps most importantly, </w:t>
      </w:r>
      <w:r w:rsidRPr="00B04A17">
        <w:rPr>
          <w:rFonts w:ascii="Times New Roman" w:eastAsiaTheme="minorHAnsi" w:hAnsi="Times New Roman" w:cs="Times New Roman"/>
          <w:b/>
          <w:sz w:val="24"/>
          <w:szCs w:val="24"/>
        </w:rPr>
        <w:t>total lending commitments to LICs went up by far less than the total for all developing countries</w:t>
      </w:r>
      <w:r w:rsidRPr="00E12CEA">
        <w:rPr>
          <w:rFonts w:ascii="Times New Roman" w:eastAsiaTheme="minorHAnsi" w:hAnsi="Times New Roman" w:cs="Times New Roman"/>
          <w:sz w:val="24"/>
          <w:szCs w:val="24"/>
        </w:rPr>
        <w:t>, from $17.5 billion annually in 2007-2008 to over $23 billion annually in 2009-2011, that is by around 33</w:t>
      </w:r>
      <w:r w:rsidR="007F6CE2">
        <w:rPr>
          <w:rFonts w:ascii="Times New Roman" w:eastAsiaTheme="minorHAnsi" w:hAnsi="Times New Roman" w:cs="Times New Roman"/>
          <w:sz w:val="24"/>
          <w:szCs w:val="24"/>
        </w:rPr>
        <w:t xml:space="preserve"> per cent</w:t>
      </w:r>
      <w:r w:rsidRPr="00E12CEA">
        <w:rPr>
          <w:rFonts w:ascii="Times New Roman" w:eastAsiaTheme="minorHAnsi" w:hAnsi="Times New Roman" w:cs="Times New Roman"/>
          <w:sz w:val="24"/>
          <w:szCs w:val="24"/>
        </w:rPr>
        <w:t xml:space="preserve">, which is a lot less than </w:t>
      </w:r>
      <w:r w:rsidR="009D40D9">
        <w:rPr>
          <w:rFonts w:ascii="Times New Roman" w:eastAsiaTheme="minorHAnsi" w:hAnsi="Times New Roman" w:cs="Times New Roman"/>
          <w:sz w:val="24"/>
          <w:szCs w:val="24"/>
        </w:rPr>
        <w:t xml:space="preserve">the increase in commitments </w:t>
      </w:r>
      <w:r w:rsidRPr="00E12CEA">
        <w:rPr>
          <w:rFonts w:ascii="Times New Roman" w:eastAsiaTheme="minorHAnsi" w:hAnsi="Times New Roman" w:cs="Times New Roman"/>
          <w:sz w:val="24"/>
          <w:szCs w:val="24"/>
        </w:rPr>
        <w:t xml:space="preserve">for </w:t>
      </w:r>
      <w:r w:rsidR="009D40D9">
        <w:rPr>
          <w:rFonts w:ascii="Times New Roman" w:eastAsiaTheme="minorHAnsi" w:hAnsi="Times New Roman" w:cs="Times New Roman"/>
          <w:sz w:val="24"/>
          <w:szCs w:val="24"/>
        </w:rPr>
        <w:t xml:space="preserve">MICs </w:t>
      </w:r>
      <w:r w:rsidR="00962440" w:rsidRPr="00E12CEA">
        <w:rPr>
          <w:rFonts w:ascii="Times New Roman" w:eastAsiaTheme="minorHAnsi" w:hAnsi="Times New Roman" w:cs="Times New Roman"/>
          <w:sz w:val="24"/>
          <w:szCs w:val="24"/>
        </w:rPr>
        <w:t>(see Figure</w:t>
      </w:r>
      <w:r w:rsidR="00451F32" w:rsidRPr="00E12CEA">
        <w:rPr>
          <w:rFonts w:ascii="Times New Roman" w:eastAsiaTheme="minorHAnsi" w:hAnsi="Times New Roman" w:cs="Times New Roman"/>
          <w:sz w:val="24"/>
          <w:szCs w:val="24"/>
        </w:rPr>
        <w:t>s 3 and 4, and Table 4</w:t>
      </w:r>
      <w:r w:rsidRPr="00E12CEA">
        <w:rPr>
          <w:rFonts w:ascii="Times New Roman" w:eastAsiaTheme="minorHAnsi" w:hAnsi="Times New Roman" w:cs="Times New Roman"/>
          <w:sz w:val="24"/>
          <w:szCs w:val="24"/>
        </w:rPr>
        <w:t xml:space="preserve">). One could perhaps argue that in some ways, LICs were the </w:t>
      </w:r>
      <w:r w:rsidR="00384841" w:rsidRPr="00E12CEA">
        <w:rPr>
          <w:rFonts w:ascii="Times New Roman" w:eastAsiaTheme="minorHAnsi" w:hAnsi="Times New Roman" w:cs="Times New Roman"/>
          <w:sz w:val="24"/>
          <w:szCs w:val="24"/>
        </w:rPr>
        <w:t>Cinderella</w:t>
      </w:r>
      <w:r w:rsidRPr="00E12CEA">
        <w:rPr>
          <w:rFonts w:ascii="Times New Roman" w:eastAsiaTheme="minorHAnsi" w:hAnsi="Times New Roman" w:cs="Times New Roman"/>
          <w:sz w:val="24"/>
          <w:szCs w:val="24"/>
        </w:rPr>
        <w:t xml:space="preserve"> amongst developing countries in terms of their access to IFI financing </w:t>
      </w:r>
      <w:r w:rsidR="00F038EE" w:rsidRPr="00E12CEA">
        <w:rPr>
          <w:rFonts w:ascii="Times New Roman" w:eastAsiaTheme="minorHAnsi" w:hAnsi="Times New Roman" w:cs="Times New Roman"/>
          <w:sz w:val="24"/>
          <w:szCs w:val="24"/>
        </w:rPr>
        <w:t xml:space="preserve">though their access did increase, and they had benefited from a previous increase from $14.5 billion in 2006 to $17.5 billion in 2007, more linked to food and fuel prices hikes. </w:t>
      </w:r>
      <w:r w:rsidR="00AF5F63" w:rsidRPr="00E12CEA">
        <w:rPr>
          <w:rFonts w:ascii="Times New Roman" w:eastAsiaTheme="minorHAnsi" w:hAnsi="Times New Roman" w:cs="Times New Roman"/>
          <w:sz w:val="24"/>
          <w:szCs w:val="24"/>
        </w:rPr>
        <w:t>It is a source of great concern that beyond 2014, funding for subsidies for all IMF lending are currently projected to be very low, which could restrict significantly the Fund’</w:t>
      </w:r>
      <w:r w:rsidR="006E2189" w:rsidRPr="00E12CEA">
        <w:rPr>
          <w:rFonts w:ascii="Times New Roman" w:eastAsiaTheme="minorHAnsi" w:hAnsi="Times New Roman" w:cs="Times New Roman"/>
          <w:sz w:val="24"/>
          <w:szCs w:val="24"/>
        </w:rPr>
        <w:t>s capacity to lend to LICs, to well below pre-crisis levels</w:t>
      </w:r>
      <w:r w:rsidR="000A0A3B" w:rsidRPr="00E12CEA">
        <w:rPr>
          <w:rFonts w:ascii="Times New Roman" w:eastAsiaTheme="minorHAnsi" w:hAnsi="Times New Roman" w:cs="Times New Roman"/>
          <w:sz w:val="24"/>
          <w:szCs w:val="24"/>
        </w:rPr>
        <w:t>. Cinderella would become even more abandoned, unless funding is urgently found!</w:t>
      </w:r>
      <w:r w:rsidR="007F6388">
        <w:rPr>
          <w:rFonts w:ascii="Times New Roman" w:eastAsiaTheme="minorHAnsi" w:hAnsi="Times New Roman" w:cs="Times New Roman"/>
          <w:sz w:val="24"/>
          <w:szCs w:val="24"/>
        </w:rPr>
        <w:t xml:space="preserve"> </w:t>
      </w:r>
    </w:p>
    <w:p w:rsidR="00E72E81" w:rsidRPr="00357DDF" w:rsidRDefault="00E72E81" w:rsidP="00357DDF">
      <w:pPr>
        <w:pStyle w:val="ListParagraph"/>
        <w:spacing w:after="0" w:line="240" w:lineRule="auto"/>
        <w:ind w:left="0"/>
        <w:rPr>
          <w:rFonts w:ascii="Times New Roman" w:eastAsiaTheme="minorHAnsi" w:hAnsi="Times New Roman" w:cs="Times New Roman"/>
          <w:sz w:val="24"/>
          <w:szCs w:val="24"/>
        </w:rPr>
      </w:pPr>
    </w:p>
    <w:p w:rsidR="00F038EE" w:rsidRPr="00E12CEA" w:rsidRDefault="007F6388">
      <w:pPr>
        <w:pStyle w:val="ListParagraph"/>
        <w:tabs>
          <w:tab w:val="left" w:pos="567"/>
        </w:tabs>
        <w:spacing w:after="0" w:line="240" w:lineRule="auto"/>
        <w:ind w:left="0" w:right="-46"/>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00C35C6E">
        <w:rPr>
          <w:rFonts w:ascii="Times New Roman" w:eastAsiaTheme="minorHAnsi" w:hAnsi="Times New Roman" w:cs="Times New Roman"/>
          <w:sz w:val="24"/>
          <w:szCs w:val="24"/>
        </w:rPr>
        <w:t>5</w:t>
      </w:r>
      <w:r>
        <w:rPr>
          <w:rFonts w:ascii="Times New Roman" w:eastAsiaTheme="minorHAnsi" w:hAnsi="Times New Roman" w:cs="Times New Roman"/>
          <w:sz w:val="24"/>
          <w:szCs w:val="24"/>
        </w:rPr>
        <w:t>.</w:t>
      </w:r>
      <w:r>
        <w:rPr>
          <w:rFonts w:ascii="Times New Roman" w:eastAsiaTheme="minorHAnsi" w:hAnsi="Times New Roman" w:cs="Times New Roman"/>
          <w:sz w:val="24"/>
          <w:szCs w:val="24"/>
        </w:rPr>
        <w:tab/>
      </w:r>
      <w:r w:rsidR="00F038EE" w:rsidRPr="00E12CEA">
        <w:rPr>
          <w:rFonts w:ascii="Times New Roman" w:eastAsiaTheme="minorHAnsi" w:hAnsi="Times New Roman" w:cs="Times New Roman"/>
          <w:sz w:val="24"/>
          <w:szCs w:val="24"/>
        </w:rPr>
        <w:t xml:space="preserve">Secondly, </w:t>
      </w:r>
      <w:r w:rsidR="00F038EE" w:rsidRPr="00B04A17">
        <w:rPr>
          <w:rFonts w:ascii="Times New Roman" w:eastAsiaTheme="minorHAnsi" w:hAnsi="Times New Roman" w:cs="Times New Roman"/>
          <w:b/>
          <w:sz w:val="24"/>
          <w:szCs w:val="24"/>
        </w:rPr>
        <w:t xml:space="preserve">the response was </w:t>
      </w:r>
      <w:r w:rsidR="00380A7B" w:rsidRPr="00B04A17">
        <w:rPr>
          <w:rFonts w:ascii="Times New Roman" w:eastAsiaTheme="minorHAnsi" w:hAnsi="Times New Roman" w:cs="Times New Roman"/>
          <w:b/>
          <w:sz w:val="24"/>
          <w:szCs w:val="24"/>
        </w:rPr>
        <w:t xml:space="preserve">also </w:t>
      </w:r>
      <w:r w:rsidR="00F038EE" w:rsidRPr="00B04A17">
        <w:rPr>
          <w:rFonts w:ascii="Times New Roman" w:eastAsiaTheme="minorHAnsi" w:hAnsi="Times New Roman" w:cs="Times New Roman"/>
          <w:b/>
          <w:sz w:val="24"/>
          <w:szCs w:val="24"/>
        </w:rPr>
        <w:t>somewhat slow</w:t>
      </w:r>
      <w:r w:rsidR="00F038EE" w:rsidRPr="00E12CEA">
        <w:rPr>
          <w:rFonts w:ascii="Times New Roman" w:eastAsiaTheme="minorHAnsi" w:hAnsi="Times New Roman" w:cs="Times New Roman"/>
          <w:sz w:val="24"/>
          <w:szCs w:val="24"/>
        </w:rPr>
        <w:t xml:space="preserve"> as the most important increases only happened in 2009-2010, well after the </w:t>
      </w:r>
      <w:r w:rsidR="00EA65E0" w:rsidRPr="00E12CEA">
        <w:rPr>
          <w:rFonts w:ascii="Times New Roman" w:eastAsiaTheme="minorHAnsi" w:hAnsi="Times New Roman" w:cs="Times New Roman"/>
          <w:sz w:val="24"/>
          <w:szCs w:val="24"/>
        </w:rPr>
        <w:t>crisis started. This picture is</w:t>
      </w:r>
      <w:r w:rsidR="00783D3C" w:rsidRPr="00E12CEA">
        <w:rPr>
          <w:rFonts w:ascii="Times New Roman" w:eastAsiaTheme="minorHAnsi" w:hAnsi="Times New Roman" w:cs="Times New Roman"/>
          <w:sz w:val="24"/>
          <w:szCs w:val="24"/>
        </w:rPr>
        <w:t xml:space="preserve"> even clearer if we look </w:t>
      </w:r>
      <w:r w:rsidR="00F038EE" w:rsidRPr="00E12CEA">
        <w:rPr>
          <w:rFonts w:ascii="Times New Roman" w:eastAsiaTheme="minorHAnsi" w:hAnsi="Times New Roman" w:cs="Times New Roman"/>
          <w:sz w:val="24"/>
          <w:szCs w:val="24"/>
        </w:rPr>
        <w:t>at actual disbursements, which often lagged</w:t>
      </w:r>
      <w:r w:rsidR="00783D3C" w:rsidRPr="00E12CEA">
        <w:rPr>
          <w:rFonts w:ascii="Times New Roman" w:eastAsiaTheme="minorHAnsi" w:hAnsi="Times New Roman" w:cs="Times New Roman"/>
          <w:sz w:val="24"/>
          <w:szCs w:val="24"/>
        </w:rPr>
        <w:t xml:space="preserve"> commitments quite significant</w:t>
      </w:r>
      <w:r w:rsidR="00EA65E0" w:rsidRPr="00E12CEA">
        <w:rPr>
          <w:rFonts w:ascii="Times New Roman" w:eastAsiaTheme="minorHAnsi" w:hAnsi="Times New Roman" w:cs="Times New Roman"/>
          <w:sz w:val="24"/>
          <w:szCs w:val="24"/>
        </w:rPr>
        <w:t>ly</w:t>
      </w:r>
      <w:r w:rsidR="009D40D9">
        <w:rPr>
          <w:rFonts w:ascii="Times New Roman" w:eastAsiaTheme="minorHAnsi" w:hAnsi="Times New Roman" w:cs="Times New Roman"/>
          <w:sz w:val="24"/>
          <w:szCs w:val="24"/>
        </w:rPr>
        <w:t>.</w:t>
      </w:r>
      <w:r w:rsidR="00783D3C" w:rsidRPr="00E12CEA">
        <w:rPr>
          <w:rFonts w:ascii="Times New Roman" w:eastAsiaTheme="minorHAnsi" w:hAnsi="Times New Roman" w:cs="Times New Roman"/>
          <w:sz w:val="24"/>
          <w:szCs w:val="24"/>
        </w:rPr>
        <w:t xml:space="preserve"> Table</w:t>
      </w:r>
      <w:r w:rsidR="00D35114" w:rsidRPr="00E12CEA">
        <w:rPr>
          <w:rFonts w:ascii="Times New Roman" w:eastAsiaTheme="minorHAnsi" w:hAnsi="Times New Roman" w:cs="Times New Roman"/>
          <w:sz w:val="24"/>
          <w:szCs w:val="24"/>
        </w:rPr>
        <w:t xml:space="preserve">s 2 </w:t>
      </w:r>
      <w:r w:rsidR="00EA65E0" w:rsidRPr="00E12CEA">
        <w:rPr>
          <w:rFonts w:ascii="Times New Roman" w:eastAsiaTheme="minorHAnsi" w:hAnsi="Times New Roman" w:cs="Times New Roman"/>
          <w:sz w:val="24"/>
          <w:szCs w:val="24"/>
        </w:rPr>
        <w:t>and 3</w:t>
      </w:r>
      <w:r w:rsidR="00783D3C" w:rsidRPr="00E12CEA">
        <w:rPr>
          <w:rFonts w:ascii="Times New Roman" w:eastAsiaTheme="minorHAnsi" w:hAnsi="Times New Roman" w:cs="Times New Roman"/>
          <w:sz w:val="24"/>
          <w:szCs w:val="24"/>
        </w:rPr>
        <w:t xml:space="preserve"> </w:t>
      </w:r>
      <w:r w:rsidR="00D35114" w:rsidRPr="00E12CEA">
        <w:rPr>
          <w:rFonts w:ascii="Times New Roman" w:eastAsiaTheme="minorHAnsi" w:hAnsi="Times New Roman" w:cs="Times New Roman"/>
          <w:sz w:val="24"/>
          <w:szCs w:val="24"/>
        </w:rPr>
        <w:t xml:space="preserve">and </w:t>
      </w:r>
      <w:r w:rsidR="0084147B">
        <w:rPr>
          <w:rFonts w:ascii="Times New Roman" w:eastAsiaTheme="minorHAnsi" w:hAnsi="Times New Roman" w:cs="Times New Roman"/>
          <w:sz w:val="24"/>
          <w:szCs w:val="24"/>
        </w:rPr>
        <w:t>F</w:t>
      </w:r>
      <w:r w:rsidR="0084147B" w:rsidRPr="00E12CEA">
        <w:rPr>
          <w:rFonts w:ascii="Times New Roman" w:eastAsiaTheme="minorHAnsi" w:hAnsi="Times New Roman" w:cs="Times New Roman"/>
          <w:sz w:val="24"/>
          <w:szCs w:val="24"/>
        </w:rPr>
        <w:t xml:space="preserve">igure </w:t>
      </w:r>
      <w:r w:rsidR="00D35114" w:rsidRPr="00E12CEA">
        <w:rPr>
          <w:rFonts w:ascii="Times New Roman" w:eastAsiaTheme="minorHAnsi" w:hAnsi="Times New Roman" w:cs="Times New Roman"/>
          <w:sz w:val="24"/>
          <w:szCs w:val="24"/>
        </w:rPr>
        <w:t xml:space="preserve">1 and 2 </w:t>
      </w:r>
      <w:r w:rsidR="00EA65E0" w:rsidRPr="00E12CEA">
        <w:rPr>
          <w:rFonts w:ascii="Times New Roman" w:eastAsiaTheme="minorHAnsi" w:hAnsi="Times New Roman" w:cs="Times New Roman"/>
          <w:sz w:val="24"/>
          <w:szCs w:val="24"/>
        </w:rPr>
        <w:t xml:space="preserve">below, illustrate </w:t>
      </w:r>
      <w:r w:rsidR="009D40D9">
        <w:rPr>
          <w:rFonts w:ascii="Times New Roman" w:eastAsiaTheme="minorHAnsi" w:hAnsi="Times New Roman" w:cs="Times New Roman"/>
          <w:sz w:val="24"/>
          <w:szCs w:val="24"/>
        </w:rPr>
        <w:t>these trends</w:t>
      </w:r>
      <w:r w:rsidR="00066263">
        <w:rPr>
          <w:rFonts w:ascii="Times New Roman" w:eastAsiaTheme="minorHAnsi" w:hAnsi="Times New Roman" w:cs="Times New Roman"/>
          <w:sz w:val="24"/>
          <w:szCs w:val="24"/>
        </w:rPr>
        <w:t>.</w:t>
      </w:r>
      <w:r w:rsidR="009D40D9">
        <w:rPr>
          <w:rFonts w:ascii="Times New Roman" w:eastAsiaTheme="minorHAnsi" w:hAnsi="Times New Roman" w:cs="Times New Roman"/>
          <w:sz w:val="24"/>
          <w:szCs w:val="24"/>
        </w:rPr>
        <w:t xml:space="preserve"> </w:t>
      </w:r>
      <w:r w:rsidR="00EA65E0" w:rsidRPr="00E12CEA">
        <w:rPr>
          <w:rFonts w:ascii="Times New Roman" w:eastAsiaTheme="minorHAnsi" w:hAnsi="Times New Roman" w:cs="Times New Roman"/>
          <w:sz w:val="24"/>
          <w:szCs w:val="24"/>
        </w:rPr>
        <w:t xml:space="preserve">Table 2 shows for example that, though IDA commitments increased quickly in 2007 and 2009, disbursements hardly grew in those years, and only increased </w:t>
      </w:r>
      <w:r w:rsidR="009D40D9">
        <w:rPr>
          <w:rFonts w:ascii="Times New Roman" w:eastAsiaTheme="minorHAnsi" w:hAnsi="Times New Roman" w:cs="Times New Roman"/>
          <w:sz w:val="24"/>
          <w:szCs w:val="24"/>
        </w:rPr>
        <w:t xml:space="preserve">modestly </w:t>
      </w:r>
      <w:r w:rsidR="00EA65E0" w:rsidRPr="00E12CEA">
        <w:rPr>
          <w:rFonts w:ascii="Times New Roman" w:eastAsiaTheme="minorHAnsi" w:hAnsi="Times New Roman" w:cs="Times New Roman"/>
          <w:sz w:val="24"/>
          <w:szCs w:val="24"/>
        </w:rPr>
        <w:t>in 2008 and especially in 2010, that is well after the shocks had hit LICs.</w:t>
      </w:r>
      <w:r w:rsidR="00380A7B" w:rsidRPr="00E12CEA">
        <w:rPr>
          <w:rFonts w:ascii="Times New Roman" w:eastAsiaTheme="minorHAnsi" w:hAnsi="Times New Roman" w:cs="Times New Roman"/>
          <w:sz w:val="24"/>
          <w:szCs w:val="24"/>
        </w:rPr>
        <w:t xml:space="preserve"> </w:t>
      </w:r>
      <w:r w:rsidR="00EA65E0" w:rsidRPr="00E12CEA">
        <w:rPr>
          <w:rFonts w:ascii="Times New Roman" w:eastAsiaTheme="minorHAnsi" w:hAnsi="Times New Roman" w:cs="Times New Roman"/>
          <w:sz w:val="24"/>
          <w:szCs w:val="24"/>
        </w:rPr>
        <w:t>Figure 2a shows the cumulative commitments and disbursement</w:t>
      </w:r>
      <w:r w:rsidR="00DF710E" w:rsidRPr="00E12CEA">
        <w:rPr>
          <w:rFonts w:ascii="Times New Roman" w:eastAsiaTheme="minorHAnsi" w:hAnsi="Times New Roman" w:cs="Times New Roman"/>
          <w:sz w:val="24"/>
          <w:szCs w:val="24"/>
        </w:rPr>
        <w:t>s from 2006 to 2011. As can be</w:t>
      </w:r>
      <w:r w:rsidR="00EA65E0" w:rsidRPr="00E12CEA">
        <w:rPr>
          <w:rFonts w:ascii="Times New Roman" w:eastAsiaTheme="minorHAnsi" w:hAnsi="Times New Roman" w:cs="Times New Roman"/>
          <w:sz w:val="24"/>
          <w:szCs w:val="24"/>
        </w:rPr>
        <w:t xml:space="preserve"> seen, disbursements are continually less than commitments from 2008 onwards with the cumulative “disbursements gap” increasing to $286 billion by 2011. The majority (93</w:t>
      </w:r>
      <w:r w:rsidR="007F6CE2">
        <w:rPr>
          <w:rFonts w:ascii="Times New Roman" w:eastAsiaTheme="minorHAnsi" w:hAnsi="Times New Roman" w:cs="Times New Roman"/>
          <w:sz w:val="24"/>
          <w:szCs w:val="24"/>
        </w:rPr>
        <w:t xml:space="preserve"> per cent</w:t>
      </w:r>
      <w:r w:rsidR="00EA65E0" w:rsidRPr="00E12CEA">
        <w:rPr>
          <w:rFonts w:ascii="Times New Roman" w:eastAsiaTheme="minorHAnsi" w:hAnsi="Times New Roman" w:cs="Times New Roman"/>
          <w:sz w:val="24"/>
          <w:szCs w:val="24"/>
        </w:rPr>
        <w:t xml:space="preserve"> of $265 billion) of this gap relates to </w:t>
      </w:r>
      <w:r w:rsidR="009D40D9">
        <w:rPr>
          <w:rFonts w:ascii="Times New Roman" w:eastAsiaTheme="minorHAnsi" w:hAnsi="Times New Roman" w:cs="Times New Roman"/>
          <w:sz w:val="24"/>
          <w:szCs w:val="24"/>
        </w:rPr>
        <w:t xml:space="preserve">MICs </w:t>
      </w:r>
      <w:r w:rsidR="00EA65E0" w:rsidRPr="00E12CEA">
        <w:rPr>
          <w:rFonts w:ascii="Times New Roman" w:eastAsiaTheme="minorHAnsi" w:hAnsi="Times New Roman" w:cs="Times New Roman"/>
          <w:sz w:val="24"/>
          <w:szCs w:val="24"/>
        </w:rPr>
        <w:t>where disbursements were slow.</w:t>
      </w:r>
      <w:r>
        <w:rPr>
          <w:rFonts w:ascii="Times New Roman" w:eastAsiaTheme="minorHAnsi" w:hAnsi="Times New Roman" w:cs="Times New Roman"/>
          <w:sz w:val="24"/>
          <w:szCs w:val="24"/>
        </w:rPr>
        <w:t xml:space="preserve"> </w:t>
      </w:r>
      <w:r w:rsidR="00F038EE" w:rsidRPr="005F6851">
        <w:rPr>
          <w:rFonts w:ascii="Times New Roman" w:eastAsiaTheme="minorHAnsi" w:hAnsi="Times New Roman" w:cs="Times New Roman"/>
          <w:b/>
          <w:sz w:val="24"/>
          <w:szCs w:val="24"/>
        </w:rPr>
        <w:t>A key policy lesson here is to ensure that both appropriate lending facilities and sufficient resources are in place before crisis and other major shocks hit, and that shocks facilities can be disbursed quickly, implying low conditionality and forward looking triggers.</w:t>
      </w:r>
      <w:r w:rsidR="00451F32" w:rsidRPr="00E12CEA">
        <w:rPr>
          <w:rFonts w:ascii="Times New Roman" w:eastAsiaTheme="minorHAnsi" w:hAnsi="Times New Roman" w:cs="Times New Roman"/>
          <w:sz w:val="24"/>
          <w:szCs w:val="24"/>
        </w:rPr>
        <w:t xml:space="preserve"> Furthermore, it </w:t>
      </w:r>
      <w:r w:rsidR="00380A7B" w:rsidRPr="00E12CEA">
        <w:rPr>
          <w:rFonts w:ascii="Times New Roman" w:eastAsiaTheme="minorHAnsi" w:hAnsi="Times New Roman" w:cs="Times New Roman"/>
          <w:sz w:val="24"/>
          <w:szCs w:val="24"/>
        </w:rPr>
        <w:t>may</w:t>
      </w:r>
      <w:r w:rsidR="00451F32" w:rsidRPr="00E12CEA">
        <w:rPr>
          <w:rFonts w:ascii="Times New Roman" w:eastAsiaTheme="minorHAnsi" w:hAnsi="Times New Roman" w:cs="Times New Roman"/>
          <w:sz w:val="24"/>
          <w:szCs w:val="24"/>
        </w:rPr>
        <w:t xml:space="preserve"> be more appropriate to use s</w:t>
      </w:r>
      <w:r w:rsidR="00ED4C91" w:rsidRPr="00E12CEA">
        <w:rPr>
          <w:rFonts w:ascii="Times New Roman" w:eastAsiaTheme="minorHAnsi" w:hAnsi="Times New Roman" w:cs="Times New Roman"/>
          <w:sz w:val="24"/>
          <w:szCs w:val="24"/>
        </w:rPr>
        <w:t xml:space="preserve">pecial shocks facilities to provide </w:t>
      </w:r>
      <w:r w:rsidR="00ED4C91" w:rsidRPr="00E12CEA">
        <w:rPr>
          <w:rFonts w:ascii="Times New Roman" w:eastAsiaTheme="minorHAnsi" w:hAnsi="Times New Roman" w:cs="Times New Roman"/>
          <w:sz w:val="24"/>
          <w:szCs w:val="24"/>
        </w:rPr>
        <w:lastRenderedPageBreak/>
        <w:t>most of the financing due to shocks, rather than rely also a great deal on broad lending or grant mechanisms, as occurred in 2006-2011.</w:t>
      </w:r>
    </w:p>
    <w:p w:rsidR="0024560A" w:rsidRDefault="0024560A" w:rsidP="00B9215B">
      <w:pPr>
        <w:spacing w:after="0" w:line="240" w:lineRule="auto"/>
        <w:jc w:val="both"/>
        <w:rPr>
          <w:rFonts w:ascii="Calibri" w:eastAsia="Times New Roman" w:hAnsi="Calibri" w:cs="Calibri"/>
          <w:b/>
          <w:bCs/>
          <w:color w:val="000000"/>
        </w:rPr>
      </w:pPr>
    </w:p>
    <w:p w:rsidR="00783D3C" w:rsidRPr="00BA5C92" w:rsidRDefault="00B9215B" w:rsidP="00B9215B">
      <w:pPr>
        <w:spacing w:after="0" w:line="240" w:lineRule="auto"/>
        <w:jc w:val="both"/>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Table 2 IDA Commitments and Disbursements</w:t>
      </w:r>
    </w:p>
    <w:tbl>
      <w:tblPr>
        <w:tblW w:w="9231" w:type="dxa"/>
        <w:tblInd w:w="108" w:type="dxa"/>
        <w:tblLook w:val="04A0" w:firstRow="1" w:lastRow="0" w:firstColumn="1" w:lastColumn="0" w:noHBand="0" w:noVBand="1"/>
      </w:tblPr>
      <w:tblGrid>
        <w:gridCol w:w="3119"/>
        <w:gridCol w:w="1267"/>
        <w:gridCol w:w="969"/>
        <w:gridCol w:w="969"/>
        <w:gridCol w:w="969"/>
        <w:gridCol w:w="969"/>
        <w:gridCol w:w="969"/>
      </w:tblGrid>
      <w:tr w:rsidR="00783D3C" w:rsidRPr="000F2420" w:rsidTr="00F87E65">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b/>
                <w:bCs/>
                <w:color w:val="000000"/>
                <w:sz w:val="20"/>
                <w:szCs w:val="20"/>
              </w:rPr>
            </w:pPr>
          </w:p>
        </w:tc>
        <w:tc>
          <w:tcPr>
            <w:tcW w:w="611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83D3C" w:rsidRPr="00BA5C92" w:rsidRDefault="00783D3C" w:rsidP="00783D3C">
            <w:pPr>
              <w:spacing w:after="0" w:line="240" w:lineRule="auto"/>
              <w:jc w:val="center"/>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millions</w:t>
            </w:r>
          </w:p>
        </w:tc>
      </w:tr>
      <w:tr w:rsidR="00783D3C" w:rsidRPr="000F2420" w:rsidTr="00F87E65">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c>
          <w:tcPr>
            <w:tcW w:w="1267"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2006</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2007</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2008</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2009</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2010</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2011</w:t>
            </w:r>
          </w:p>
        </w:tc>
      </w:tr>
      <w:tr w:rsidR="00783D3C" w:rsidRPr="000F2420" w:rsidTr="00F87E65">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Commitments</w:t>
            </w:r>
          </w:p>
        </w:tc>
        <w:tc>
          <w:tcPr>
            <w:tcW w:w="1267"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9,506</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11,867</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11,235</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14,041</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14,550</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16,269</w:t>
            </w:r>
          </w:p>
        </w:tc>
      </w:tr>
      <w:tr w:rsidR="00783D3C" w:rsidRPr="000F2420" w:rsidTr="00F87E65">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Disbursements</w:t>
            </w:r>
          </w:p>
        </w:tc>
        <w:tc>
          <w:tcPr>
            <w:tcW w:w="1267"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8,910</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8,579</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9,160</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9,219</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11,460</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10,282</w:t>
            </w:r>
          </w:p>
        </w:tc>
      </w:tr>
      <w:tr w:rsidR="00783D3C" w:rsidRPr="000F2420" w:rsidTr="00F87E65">
        <w:trPr>
          <w:trHeight w:val="300"/>
        </w:trPr>
        <w:tc>
          <w:tcPr>
            <w:tcW w:w="3119" w:type="dxa"/>
            <w:tcBorders>
              <w:top w:val="nil"/>
              <w:left w:val="nil"/>
              <w:bottom w:val="nil"/>
              <w:right w:val="nil"/>
            </w:tcBorders>
            <w:shd w:val="clear" w:color="auto" w:fill="auto"/>
            <w:noWrap/>
            <w:vAlign w:val="bottom"/>
            <w:hideMark/>
          </w:tcPr>
          <w:p w:rsidR="00B9215B" w:rsidRPr="00BA5C92" w:rsidRDefault="00EB42D0" w:rsidP="00534299">
            <w:pPr>
              <w:spacing w:after="0" w:line="240" w:lineRule="auto"/>
              <w:ind w:left="-108" w:right="-1242"/>
              <w:rPr>
                <w:rFonts w:ascii="Times New Roman" w:eastAsia="Times New Roman" w:hAnsi="Times New Roman" w:cs="Times New Roman"/>
                <w:b/>
                <w:color w:val="000000"/>
                <w:sz w:val="20"/>
                <w:szCs w:val="20"/>
              </w:rPr>
            </w:pPr>
            <w:r w:rsidRPr="00BA5C92">
              <w:rPr>
                <w:rFonts w:ascii="Times New Roman" w:eastAsia="Times New Roman" w:hAnsi="Times New Roman" w:cs="Times New Roman"/>
                <w:b/>
                <w:color w:val="000000"/>
                <w:sz w:val="20"/>
                <w:szCs w:val="20"/>
              </w:rPr>
              <w:t xml:space="preserve">Source: </w:t>
            </w:r>
            <w:r w:rsidRPr="00BA5C92">
              <w:rPr>
                <w:rFonts w:ascii="Times New Roman" w:eastAsia="Times New Roman" w:hAnsi="Times New Roman" w:cs="Times New Roman"/>
                <w:color w:val="000000"/>
                <w:sz w:val="20"/>
                <w:szCs w:val="20"/>
              </w:rPr>
              <w:t xml:space="preserve">World Bank Annual </w:t>
            </w:r>
            <w:r w:rsidR="009A6779" w:rsidRPr="00BA5C92">
              <w:rPr>
                <w:rFonts w:ascii="Times New Roman" w:eastAsia="Times New Roman" w:hAnsi="Times New Roman" w:cs="Times New Roman"/>
                <w:color w:val="000000"/>
                <w:sz w:val="20"/>
                <w:szCs w:val="20"/>
              </w:rPr>
              <w:t xml:space="preserve"> Re</w:t>
            </w:r>
            <w:r w:rsidRPr="00BA5C92">
              <w:rPr>
                <w:rFonts w:ascii="Times New Roman" w:eastAsia="Times New Roman" w:hAnsi="Times New Roman" w:cs="Times New Roman"/>
                <w:color w:val="000000"/>
                <w:sz w:val="20"/>
                <w:szCs w:val="20"/>
              </w:rPr>
              <w:t>ports</w:t>
            </w:r>
          </w:p>
          <w:p w:rsidR="008C5382" w:rsidRPr="00BA5C92" w:rsidRDefault="008C5382" w:rsidP="00B04A17">
            <w:pPr>
              <w:spacing w:after="0" w:line="240" w:lineRule="auto"/>
              <w:ind w:left="-108" w:right="-1384"/>
              <w:rPr>
                <w:rFonts w:ascii="Times New Roman" w:eastAsia="Times New Roman" w:hAnsi="Times New Roman" w:cs="Times New Roman"/>
                <w:b/>
                <w:color w:val="000000"/>
                <w:sz w:val="20"/>
                <w:szCs w:val="20"/>
              </w:rPr>
            </w:pPr>
          </w:p>
          <w:p w:rsidR="002C0E39" w:rsidRPr="00BA5C92" w:rsidRDefault="00B9215B" w:rsidP="00B04A17">
            <w:pPr>
              <w:spacing w:after="0" w:line="240" w:lineRule="auto"/>
              <w:ind w:left="-108" w:right="-1384"/>
              <w:rPr>
                <w:rFonts w:ascii="Times New Roman" w:eastAsia="Times New Roman" w:hAnsi="Times New Roman" w:cs="Times New Roman"/>
                <w:b/>
                <w:color w:val="000000"/>
                <w:sz w:val="20"/>
                <w:szCs w:val="20"/>
              </w:rPr>
            </w:pPr>
            <w:r w:rsidRPr="00BA5C92">
              <w:rPr>
                <w:rFonts w:ascii="Times New Roman" w:eastAsia="Times New Roman" w:hAnsi="Times New Roman" w:cs="Times New Roman"/>
                <w:b/>
                <w:color w:val="000000"/>
                <w:sz w:val="20"/>
                <w:szCs w:val="20"/>
              </w:rPr>
              <w:t>Table 3 IBRD Commitments</w:t>
            </w:r>
            <w:r w:rsidR="002C0E39" w:rsidRPr="00BA5C92">
              <w:rPr>
                <w:rFonts w:ascii="Times New Roman" w:eastAsia="Times New Roman" w:hAnsi="Times New Roman" w:cs="Times New Roman"/>
                <w:b/>
                <w:color w:val="000000"/>
                <w:sz w:val="20"/>
                <w:szCs w:val="20"/>
              </w:rPr>
              <w:t xml:space="preserve"> and </w:t>
            </w:r>
          </w:p>
          <w:p w:rsidR="00AC466D" w:rsidRPr="00BA5C92" w:rsidRDefault="002C0E39" w:rsidP="00B04A17">
            <w:pPr>
              <w:spacing w:after="0" w:line="240" w:lineRule="auto"/>
              <w:ind w:left="-108" w:right="-1384"/>
              <w:rPr>
                <w:rFonts w:ascii="Times New Roman" w:eastAsia="Times New Roman" w:hAnsi="Times New Roman" w:cs="Times New Roman"/>
                <w:b/>
                <w:color w:val="000000"/>
                <w:sz w:val="20"/>
                <w:szCs w:val="20"/>
              </w:rPr>
            </w:pPr>
            <w:r w:rsidRPr="00BA5C92">
              <w:rPr>
                <w:rFonts w:ascii="Times New Roman" w:eastAsia="Times New Roman" w:hAnsi="Times New Roman" w:cs="Times New Roman"/>
                <w:b/>
                <w:color w:val="000000"/>
                <w:sz w:val="20"/>
                <w:szCs w:val="20"/>
              </w:rPr>
              <w:t>Dis</w:t>
            </w:r>
            <w:r w:rsidR="00B9215B" w:rsidRPr="00BA5C92">
              <w:rPr>
                <w:rFonts w:ascii="Times New Roman" w:eastAsia="Times New Roman" w:hAnsi="Times New Roman" w:cs="Times New Roman"/>
                <w:b/>
                <w:color w:val="000000"/>
                <w:sz w:val="20"/>
                <w:szCs w:val="20"/>
              </w:rPr>
              <w:t>bursements</w:t>
            </w:r>
          </w:p>
        </w:tc>
        <w:tc>
          <w:tcPr>
            <w:tcW w:w="1267" w:type="dxa"/>
            <w:tcBorders>
              <w:top w:val="nil"/>
              <w:left w:val="nil"/>
              <w:bottom w:val="nil"/>
              <w:right w:val="nil"/>
            </w:tcBorders>
            <w:shd w:val="clear" w:color="auto" w:fill="auto"/>
            <w:noWrap/>
            <w:vAlign w:val="bottom"/>
            <w:hideMark/>
          </w:tcPr>
          <w:p w:rsidR="00783D3C" w:rsidRPr="00BA5C92" w:rsidRDefault="00783D3C" w:rsidP="00534299">
            <w:pPr>
              <w:spacing w:after="0" w:line="240" w:lineRule="auto"/>
              <w:ind w:left="-3085"/>
              <w:rPr>
                <w:rFonts w:ascii="Times New Roman" w:eastAsia="Times New Roman" w:hAnsi="Times New Roman" w:cs="Times New Roman"/>
                <w:color w:val="000000"/>
                <w:sz w:val="20"/>
                <w:szCs w:val="20"/>
              </w:rPr>
            </w:pPr>
          </w:p>
          <w:p w:rsidR="00B96176" w:rsidRPr="00BA5C92" w:rsidRDefault="00B96176" w:rsidP="00783D3C">
            <w:pPr>
              <w:spacing w:after="0" w:line="240" w:lineRule="auto"/>
              <w:rPr>
                <w:rFonts w:ascii="Times New Roman" w:eastAsia="Times New Roman" w:hAnsi="Times New Roman" w:cs="Times New Roman"/>
                <w:color w:val="000000"/>
                <w:sz w:val="20"/>
                <w:szCs w:val="20"/>
              </w:rPr>
            </w:pPr>
          </w:p>
        </w:tc>
        <w:tc>
          <w:tcPr>
            <w:tcW w:w="969" w:type="dxa"/>
            <w:tcBorders>
              <w:top w:val="nil"/>
              <w:left w:val="nil"/>
              <w:bottom w:val="nil"/>
              <w:right w:val="nil"/>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color w:val="000000"/>
                <w:sz w:val="20"/>
                <w:szCs w:val="20"/>
              </w:rPr>
            </w:pPr>
          </w:p>
        </w:tc>
        <w:tc>
          <w:tcPr>
            <w:tcW w:w="969" w:type="dxa"/>
            <w:tcBorders>
              <w:top w:val="nil"/>
              <w:left w:val="nil"/>
              <w:bottom w:val="nil"/>
              <w:right w:val="nil"/>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color w:val="000000"/>
                <w:sz w:val="20"/>
                <w:szCs w:val="20"/>
              </w:rPr>
            </w:pPr>
          </w:p>
        </w:tc>
        <w:tc>
          <w:tcPr>
            <w:tcW w:w="969" w:type="dxa"/>
            <w:tcBorders>
              <w:top w:val="nil"/>
              <w:left w:val="nil"/>
              <w:bottom w:val="nil"/>
              <w:right w:val="nil"/>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color w:val="000000"/>
                <w:sz w:val="20"/>
                <w:szCs w:val="20"/>
              </w:rPr>
            </w:pPr>
          </w:p>
        </w:tc>
        <w:tc>
          <w:tcPr>
            <w:tcW w:w="969" w:type="dxa"/>
            <w:tcBorders>
              <w:top w:val="nil"/>
              <w:left w:val="nil"/>
              <w:bottom w:val="nil"/>
              <w:right w:val="nil"/>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color w:val="000000"/>
                <w:sz w:val="20"/>
                <w:szCs w:val="20"/>
              </w:rPr>
            </w:pPr>
          </w:p>
        </w:tc>
        <w:tc>
          <w:tcPr>
            <w:tcW w:w="969" w:type="dxa"/>
            <w:tcBorders>
              <w:top w:val="nil"/>
              <w:left w:val="nil"/>
              <w:bottom w:val="nil"/>
              <w:right w:val="nil"/>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color w:val="000000"/>
                <w:sz w:val="20"/>
                <w:szCs w:val="20"/>
              </w:rPr>
            </w:pPr>
          </w:p>
        </w:tc>
      </w:tr>
      <w:tr w:rsidR="00783D3C" w:rsidRPr="000F2420" w:rsidTr="00F87E65">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IBRD</w:t>
            </w:r>
          </w:p>
        </w:tc>
        <w:tc>
          <w:tcPr>
            <w:tcW w:w="611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83D3C" w:rsidRPr="00BA5C92" w:rsidRDefault="00783D3C" w:rsidP="00783D3C">
            <w:pPr>
              <w:spacing w:after="0" w:line="240" w:lineRule="auto"/>
              <w:jc w:val="center"/>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millions</w:t>
            </w:r>
          </w:p>
        </w:tc>
      </w:tr>
      <w:tr w:rsidR="00783D3C" w:rsidRPr="000F2420" w:rsidTr="00F87E65">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c>
          <w:tcPr>
            <w:tcW w:w="1267"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2006</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2007</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2008</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2009</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2010</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2011</w:t>
            </w:r>
          </w:p>
        </w:tc>
      </w:tr>
      <w:tr w:rsidR="00783D3C" w:rsidRPr="000F2420" w:rsidTr="00F87E65">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Commitments</w:t>
            </w:r>
          </w:p>
        </w:tc>
        <w:tc>
          <w:tcPr>
            <w:tcW w:w="1267"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14,135</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12,829</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13,468</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32,911</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44,197</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26,737</w:t>
            </w:r>
          </w:p>
        </w:tc>
      </w:tr>
      <w:tr w:rsidR="00783D3C" w:rsidRPr="000F2420" w:rsidTr="00F87E65">
        <w:trPr>
          <w:trHeight w:val="30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Disbursements</w:t>
            </w:r>
          </w:p>
        </w:tc>
        <w:tc>
          <w:tcPr>
            <w:tcW w:w="1267"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11,833</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11,055</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10,490</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18,565</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28,855</w:t>
            </w:r>
          </w:p>
        </w:tc>
        <w:tc>
          <w:tcPr>
            <w:tcW w:w="969" w:type="dxa"/>
            <w:tcBorders>
              <w:top w:val="nil"/>
              <w:left w:val="nil"/>
              <w:bottom w:val="single" w:sz="4" w:space="0" w:color="auto"/>
              <w:right w:val="single" w:sz="4" w:space="0" w:color="auto"/>
            </w:tcBorders>
            <w:shd w:val="clear" w:color="auto" w:fill="auto"/>
            <w:noWrap/>
            <w:vAlign w:val="bottom"/>
            <w:hideMark/>
          </w:tcPr>
          <w:p w:rsidR="00783D3C" w:rsidRPr="00BA5C92" w:rsidRDefault="00783D3C" w:rsidP="00783D3C">
            <w:pPr>
              <w:spacing w:after="0" w:line="240" w:lineRule="auto"/>
              <w:jc w:val="right"/>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21,879</w:t>
            </w:r>
          </w:p>
        </w:tc>
      </w:tr>
    </w:tbl>
    <w:p w:rsidR="00783D3C" w:rsidRPr="00B04A17" w:rsidRDefault="00F87E65" w:rsidP="00BA5C92">
      <w:pPr>
        <w:pStyle w:val="ListParagraph"/>
        <w:spacing w:after="0" w:line="240" w:lineRule="auto"/>
        <w:ind w:left="0" w:right="289"/>
        <w:contextualSpacing w:val="0"/>
        <w:jc w:val="both"/>
        <w:rPr>
          <w:rFonts w:ascii="Times New Roman" w:eastAsiaTheme="minorHAnsi" w:hAnsi="Times New Roman" w:cs="Times New Roman"/>
          <w:b/>
          <w:sz w:val="18"/>
          <w:szCs w:val="18"/>
        </w:rPr>
      </w:pPr>
      <w:r w:rsidRPr="00B04A17">
        <w:rPr>
          <w:rFonts w:ascii="Times New Roman" w:eastAsiaTheme="minorHAnsi" w:hAnsi="Times New Roman" w:cs="Times New Roman"/>
          <w:b/>
          <w:sz w:val="18"/>
          <w:szCs w:val="18"/>
        </w:rPr>
        <w:t>Source</w:t>
      </w:r>
      <w:r w:rsidR="00EB42D0" w:rsidRPr="00B04A17">
        <w:rPr>
          <w:rFonts w:ascii="Times New Roman" w:eastAsiaTheme="minorHAnsi" w:hAnsi="Times New Roman" w:cs="Times New Roman"/>
          <w:b/>
          <w:sz w:val="18"/>
          <w:szCs w:val="18"/>
        </w:rPr>
        <w:t>:</w:t>
      </w:r>
      <w:r w:rsidR="002F35BD" w:rsidRPr="00B04A17">
        <w:rPr>
          <w:rFonts w:ascii="Times New Roman" w:eastAsiaTheme="minorHAnsi" w:hAnsi="Times New Roman" w:cs="Times New Roman"/>
          <w:b/>
          <w:sz w:val="18"/>
          <w:szCs w:val="18"/>
        </w:rPr>
        <w:t xml:space="preserve"> </w:t>
      </w:r>
      <w:r w:rsidRPr="00B04A17">
        <w:rPr>
          <w:rFonts w:ascii="Times New Roman" w:eastAsiaTheme="minorHAnsi" w:hAnsi="Times New Roman" w:cs="Times New Roman"/>
          <w:sz w:val="18"/>
          <w:szCs w:val="18"/>
        </w:rPr>
        <w:t>World Bank Annual Reports</w:t>
      </w:r>
    </w:p>
    <w:p w:rsidR="00F87E65" w:rsidRDefault="00F87E65" w:rsidP="00BA5C92">
      <w:pPr>
        <w:pStyle w:val="ListParagraph"/>
        <w:spacing w:after="0" w:line="240" w:lineRule="auto"/>
        <w:ind w:left="0" w:right="289"/>
        <w:contextualSpacing w:val="0"/>
        <w:jc w:val="both"/>
        <w:rPr>
          <w:rFonts w:asciiTheme="minorHAnsi" w:eastAsiaTheme="minorHAnsi" w:hAnsiTheme="minorHAnsi" w:cstheme="minorHAnsi"/>
        </w:rPr>
      </w:pPr>
    </w:p>
    <w:p w:rsidR="00B96176" w:rsidRPr="00BA5C92" w:rsidRDefault="000F2420" w:rsidP="00BA5C92">
      <w:pPr>
        <w:pStyle w:val="ListParagraph"/>
        <w:spacing w:after="0" w:line="240" w:lineRule="auto"/>
        <w:ind w:left="0" w:right="289"/>
        <w:contextualSpacing w:val="0"/>
        <w:jc w:val="both"/>
        <w:rPr>
          <w:rFonts w:ascii="Times New Roman" w:eastAsiaTheme="minorHAnsi" w:hAnsi="Times New Roman" w:cs="Times New Roman"/>
          <w:b/>
          <w:sz w:val="20"/>
          <w:szCs w:val="20"/>
        </w:rPr>
      </w:pPr>
      <w:r w:rsidRPr="006711AC">
        <w:rPr>
          <w:rFonts w:ascii="Times New Roman" w:eastAsiaTheme="minorHAnsi" w:hAnsi="Times New Roman" w:cs="Times New Roman"/>
          <w:b/>
          <w:sz w:val="20"/>
          <w:szCs w:val="20"/>
        </w:rPr>
        <w:t>Figure 1 IDA Commitments and Disbursements</w:t>
      </w:r>
      <w:r w:rsidR="00B0362C">
        <w:rPr>
          <w:rFonts w:ascii="Times New Roman" w:eastAsiaTheme="minorHAnsi" w:hAnsi="Times New Roman" w:cs="Times New Roman"/>
          <w:b/>
          <w:sz w:val="20"/>
          <w:szCs w:val="20"/>
        </w:rPr>
        <w:t xml:space="preserve">       </w:t>
      </w:r>
      <w:r w:rsidR="00B96176" w:rsidRPr="00BA5C92">
        <w:rPr>
          <w:rFonts w:ascii="Times New Roman" w:eastAsiaTheme="minorHAnsi" w:hAnsi="Times New Roman" w:cs="Times New Roman"/>
          <w:b/>
          <w:sz w:val="20"/>
          <w:szCs w:val="20"/>
        </w:rPr>
        <w:t>Figure 2 IBRD Commitments and</w:t>
      </w:r>
      <w:r>
        <w:rPr>
          <w:rFonts w:ascii="Times New Roman" w:eastAsiaTheme="minorHAnsi" w:hAnsi="Times New Roman" w:cs="Times New Roman"/>
          <w:b/>
          <w:sz w:val="20"/>
          <w:szCs w:val="20"/>
        </w:rPr>
        <w:t xml:space="preserve"> </w:t>
      </w:r>
      <w:r w:rsidR="00B96176" w:rsidRPr="00BA5C92">
        <w:rPr>
          <w:rFonts w:ascii="Times New Roman" w:eastAsiaTheme="minorHAnsi" w:hAnsi="Times New Roman" w:cs="Times New Roman"/>
          <w:b/>
          <w:sz w:val="20"/>
          <w:szCs w:val="20"/>
        </w:rPr>
        <w:t>Disbursements</w:t>
      </w:r>
    </w:p>
    <w:p w:rsidR="00B96176" w:rsidRPr="00B04A17" w:rsidRDefault="00B96176" w:rsidP="00BA5C92">
      <w:pPr>
        <w:pStyle w:val="ListParagraph"/>
        <w:spacing w:after="0" w:line="240" w:lineRule="auto"/>
        <w:ind w:left="0" w:right="288"/>
        <w:contextualSpacing w:val="0"/>
        <w:jc w:val="both"/>
        <w:rPr>
          <w:rFonts w:ascii="Times New Roman" w:eastAsiaTheme="minorHAnsi" w:hAnsi="Times New Roman" w:cs="Times New Roman"/>
          <w:sz w:val="18"/>
          <w:szCs w:val="18"/>
        </w:rPr>
      </w:pPr>
      <w:r>
        <w:rPr>
          <w:noProof/>
        </w:rPr>
        <w:drawing>
          <wp:inline distT="0" distB="0" distL="0" distR="0" wp14:anchorId="0DF9CA72" wp14:editId="42D839F4">
            <wp:extent cx="2759103" cy="1836751"/>
            <wp:effectExtent l="0" t="0" r="2222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anchor distT="0" distB="0" distL="114300" distR="114300" simplePos="0" relativeHeight="251685888" behindDoc="0" locked="0" layoutInCell="1" allowOverlap="1" wp14:anchorId="7C341B81" wp14:editId="76102A35">
            <wp:simplePos x="0" y="0"/>
            <wp:positionH relativeFrom="column">
              <wp:align>left</wp:align>
            </wp:positionH>
            <wp:positionV relativeFrom="paragraph">
              <wp:align>top</wp:align>
            </wp:positionV>
            <wp:extent cx="2694940" cy="1836420"/>
            <wp:effectExtent l="0" t="0" r="10160" b="1143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Pr="00B04A17">
        <w:rPr>
          <w:rFonts w:ascii="Times New Roman" w:eastAsiaTheme="minorHAnsi" w:hAnsi="Times New Roman" w:cs="Times New Roman"/>
          <w:b/>
          <w:sz w:val="18"/>
          <w:szCs w:val="18"/>
        </w:rPr>
        <w:t>Source:</w:t>
      </w:r>
      <w:r w:rsidRPr="00B04A17">
        <w:rPr>
          <w:rFonts w:ascii="Times New Roman" w:eastAsiaTheme="minorHAnsi" w:hAnsi="Times New Roman" w:cs="Times New Roman"/>
          <w:sz w:val="18"/>
          <w:szCs w:val="18"/>
        </w:rPr>
        <w:t xml:space="preserve"> World Bank Annual Reports </w:t>
      </w:r>
    </w:p>
    <w:p w:rsidR="000F2420" w:rsidRDefault="00F8647A" w:rsidP="00BA5C92">
      <w:pPr>
        <w:pStyle w:val="ListParagraph"/>
        <w:spacing w:after="0" w:line="240" w:lineRule="auto"/>
        <w:ind w:left="0" w:right="288"/>
        <w:contextualSpacing w:val="0"/>
        <w:jc w:val="both"/>
        <w:rPr>
          <w:rFonts w:ascii="Times New Roman" w:eastAsiaTheme="minorHAnsi" w:hAnsi="Times New Roman" w:cs="Times New Roman"/>
          <w:sz w:val="18"/>
          <w:szCs w:val="18"/>
        </w:rPr>
      </w:pPr>
      <w:r w:rsidRPr="00BA5C92">
        <w:rPr>
          <w:rFonts w:ascii="Times New Roman" w:eastAsiaTheme="minorHAnsi" w:hAnsi="Times New Roman" w:cs="Times New Roman"/>
          <w:b/>
          <w:sz w:val="18"/>
          <w:szCs w:val="18"/>
        </w:rPr>
        <w:t xml:space="preserve">Source: </w:t>
      </w:r>
      <w:r>
        <w:rPr>
          <w:rFonts w:ascii="Times New Roman" w:eastAsiaTheme="minorHAnsi" w:hAnsi="Times New Roman" w:cs="Times New Roman"/>
          <w:sz w:val="18"/>
          <w:szCs w:val="18"/>
        </w:rPr>
        <w:t>World Bank Annual Reports</w:t>
      </w:r>
    </w:p>
    <w:p w:rsidR="00F8647A" w:rsidRDefault="00F8647A" w:rsidP="00BA5C92">
      <w:pPr>
        <w:pStyle w:val="ListParagraph"/>
        <w:spacing w:after="0" w:line="240" w:lineRule="auto"/>
        <w:ind w:left="0" w:right="288"/>
        <w:contextualSpacing w:val="0"/>
        <w:jc w:val="both"/>
        <w:rPr>
          <w:rFonts w:ascii="Times New Roman" w:eastAsiaTheme="minorHAnsi" w:hAnsi="Times New Roman" w:cs="Times New Roman"/>
          <w:sz w:val="18"/>
          <w:szCs w:val="18"/>
        </w:rPr>
      </w:pPr>
    </w:p>
    <w:p w:rsidR="00F8647A" w:rsidRDefault="00F8647A" w:rsidP="00B96176">
      <w:pPr>
        <w:pStyle w:val="ListParagraph"/>
        <w:spacing w:line="240" w:lineRule="auto"/>
        <w:ind w:left="0" w:right="288"/>
        <w:jc w:val="both"/>
        <w:rPr>
          <w:rFonts w:ascii="Times New Roman" w:eastAsiaTheme="minorHAnsi" w:hAnsi="Times New Roman" w:cs="Times New Roman"/>
          <w:sz w:val="18"/>
          <w:szCs w:val="18"/>
        </w:rPr>
      </w:pPr>
    </w:p>
    <w:p w:rsidR="001D6E29" w:rsidRPr="00BA5C92" w:rsidRDefault="00D35114" w:rsidP="001D6E29">
      <w:pPr>
        <w:pStyle w:val="ListParagraph"/>
        <w:ind w:left="0" w:right="288"/>
        <w:rPr>
          <w:rFonts w:ascii="Times New Roman" w:hAnsi="Times New Roman" w:cs="Times New Roman"/>
          <w:b/>
          <w:sz w:val="20"/>
          <w:szCs w:val="20"/>
        </w:rPr>
      </w:pPr>
      <w:r w:rsidRPr="00BA5C92">
        <w:rPr>
          <w:rFonts w:ascii="Times New Roman" w:hAnsi="Times New Roman" w:cs="Times New Roman"/>
          <w:b/>
          <w:noProof/>
          <w:color w:val="000000"/>
          <w:sz w:val="20"/>
          <w:szCs w:val="20"/>
        </w:rPr>
        <w:t>Figure 2a: Cumulative Commitments and</w:t>
      </w:r>
      <w:r w:rsidR="002C0E39" w:rsidRPr="00BA5C92">
        <w:rPr>
          <w:rFonts w:ascii="Times New Roman" w:hAnsi="Times New Roman" w:cs="Times New Roman"/>
          <w:b/>
          <w:noProof/>
          <w:color w:val="000000"/>
          <w:sz w:val="20"/>
          <w:szCs w:val="20"/>
        </w:rPr>
        <w:tab/>
      </w:r>
      <w:r w:rsidR="002C0E39" w:rsidRPr="00BA5C92">
        <w:rPr>
          <w:rFonts w:ascii="Times New Roman" w:hAnsi="Times New Roman" w:cs="Times New Roman"/>
          <w:b/>
          <w:noProof/>
          <w:color w:val="000000"/>
          <w:sz w:val="20"/>
          <w:szCs w:val="20"/>
        </w:rPr>
        <w:tab/>
        <w:t xml:space="preserve">  </w:t>
      </w:r>
      <w:r w:rsidR="001D6E29" w:rsidRPr="00BA5C92">
        <w:rPr>
          <w:rFonts w:ascii="Times New Roman" w:hAnsi="Times New Roman" w:cs="Times New Roman"/>
          <w:b/>
          <w:sz w:val="20"/>
          <w:szCs w:val="20"/>
        </w:rPr>
        <w:t xml:space="preserve">   </w:t>
      </w:r>
      <w:r w:rsidR="00E72E81" w:rsidRPr="00BA5C92">
        <w:rPr>
          <w:rFonts w:ascii="Times New Roman" w:hAnsi="Times New Roman" w:cs="Times New Roman"/>
          <w:b/>
          <w:sz w:val="20"/>
          <w:szCs w:val="20"/>
        </w:rPr>
        <w:t xml:space="preserve"> </w:t>
      </w:r>
      <w:r w:rsidR="001D6E29" w:rsidRPr="00BA5C92">
        <w:rPr>
          <w:rFonts w:ascii="Times New Roman" w:hAnsi="Times New Roman" w:cs="Times New Roman"/>
          <w:b/>
          <w:sz w:val="20"/>
          <w:szCs w:val="20"/>
        </w:rPr>
        <w:t xml:space="preserve"> Figure 3: Total IFI lending to all developing </w:t>
      </w:r>
    </w:p>
    <w:p w:rsidR="001D6E29" w:rsidRPr="00BA5C92" w:rsidRDefault="002C0E39" w:rsidP="001D6E29">
      <w:pPr>
        <w:pStyle w:val="ListParagraph"/>
        <w:ind w:left="0" w:right="288"/>
        <w:rPr>
          <w:rFonts w:ascii="Times New Roman" w:hAnsi="Times New Roman" w:cs="Times New Roman"/>
          <w:sz w:val="20"/>
          <w:szCs w:val="20"/>
        </w:rPr>
      </w:pPr>
      <w:r w:rsidRPr="00BA5C92">
        <w:rPr>
          <w:rFonts w:ascii="Times New Roman" w:hAnsi="Times New Roman" w:cs="Times New Roman"/>
          <w:b/>
          <w:noProof/>
          <w:color w:val="000000"/>
          <w:sz w:val="20"/>
          <w:szCs w:val="20"/>
        </w:rPr>
        <w:t>Disbursements 2006-2011</w:t>
      </w:r>
      <w:r w:rsidR="001D6E29" w:rsidRPr="00BA5C92">
        <w:rPr>
          <w:rFonts w:ascii="Times New Roman" w:hAnsi="Times New Roman" w:cs="Times New Roman"/>
          <w:b/>
          <w:sz w:val="20"/>
          <w:szCs w:val="20"/>
        </w:rPr>
        <w:t xml:space="preserve">                                                  countries by lender (2006-2011)</w:t>
      </w:r>
    </w:p>
    <w:p w:rsidR="00D35114" w:rsidRPr="005903D0" w:rsidRDefault="001D6E29" w:rsidP="00D35114">
      <w:pPr>
        <w:pStyle w:val="ListParagraph"/>
        <w:spacing w:after="0" w:line="240" w:lineRule="auto"/>
        <w:ind w:left="0"/>
        <w:rPr>
          <w:rFonts w:ascii="Times New Roman" w:hAnsi="Times New Roman" w:cs="Times New Roman"/>
          <w:noProof/>
          <w:color w:val="000000"/>
          <w:sz w:val="18"/>
          <w:szCs w:val="18"/>
        </w:rPr>
      </w:pPr>
      <w:r w:rsidRPr="005903D0" w:rsidDel="001D6E29">
        <w:rPr>
          <w:rFonts w:ascii="Times New Roman" w:hAnsi="Times New Roman" w:cs="Times New Roman"/>
          <w:b/>
          <w:noProof/>
          <w:color w:val="000000"/>
          <w:sz w:val="18"/>
          <w:szCs w:val="18"/>
        </w:rPr>
        <w:t xml:space="preserve"> </w:t>
      </w:r>
      <w:r w:rsidR="00D35114" w:rsidRPr="005903D0">
        <w:rPr>
          <w:rFonts w:ascii="Times New Roman" w:hAnsi="Times New Roman" w:cs="Times New Roman"/>
          <w:noProof/>
          <w:color w:val="000000"/>
          <w:sz w:val="18"/>
          <w:szCs w:val="18"/>
        </w:rPr>
        <w:t>(World Bank and IMF, LIC &amp; MIC combined)</w:t>
      </w:r>
    </w:p>
    <w:p w:rsidR="00D35114" w:rsidRDefault="00D35114" w:rsidP="00D35114">
      <w:pPr>
        <w:spacing w:after="0" w:line="240" w:lineRule="auto"/>
        <w:rPr>
          <w:rFonts w:cstheme="minorHAnsi"/>
          <w:noProof/>
          <w:color w:val="000000"/>
        </w:rPr>
      </w:pPr>
      <w:r w:rsidRPr="0018780E">
        <w:rPr>
          <w:noProof/>
        </w:rPr>
        <w:drawing>
          <wp:inline distT="0" distB="0" distL="0" distR="0" wp14:anchorId="65302751" wp14:editId="03613635">
            <wp:extent cx="2767054" cy="1900362"/>
            <wp:effectExtent l="0" t="0" r="0" b="508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66198" cy="1899774"/>
                    </a:xfrm>
                    <a:prstGeom prst="rect">
                      <a:avLst/>
                    </a:prstGeom>
                    <a:noFill/>
                    <a:ln w="9525">
                      <a:noFill/>
                      <a:miter lim="800000"/>
                      <a:headEnd/>
                      <a:tailEnd/>
                    </a:ln>
                  </pic:spPr>
                </pic:pic>
              </a:graphicData>
            </a:graphic>
          </wp:inline>
        </w:drawing>
      </w:r>
      <w:r w:rsidR="001D6E29">
        <w:rPr>
          <w:rFonts w:cstheme="minorHAnsi"/>
          <w:noProof/>
          <w:color w:val="000000"/>
        </w:rPr>
        <w:t xml:space="preserve">        </w:t>
      </w:r>
      <w:r w:rsidR="001D6E29" w:rsidRPr="00B04A17">
        <w:rPr>
          <w:rFonts w:cstheme="minorHAnsi"/>
          <w:noProof/>
        </w:rPr>
        <w:drawing>
          <wp:inline distT="0" distB="0" distL="0" distR="0" wp14:anchorId="43693252" wp14:editId="35BC4DEE">
            <wp:extent cx="2560320" cy="1892411"/>
            <wp:effectExtent l="0" t="0" r="11430" b="127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D6E29">
        <w:rPr>
          <w:rFonts w:cstheme="minorHAnsi"/>
          <w:noProof/>
          <w:color w:val="000000"/>
        </w:rPr>
        <w:t xml:space="preserve">  </w:t>
      </w:r>
    </w:p>
    <w:p w:rsidR="003C0A0C" w:rsidRPr="00B04A17" w:rsidRDefault="00D35114" w:rsidP="003C0A0C">
      <w:pPr>
        <w:pStyle w:val="ListParagraph"/>
        <w:spacing w:line="240" w:lineRule="auto"/>
        <w:ind w:left="0" w:right="289"/>
        <w:jc w:val="both"/>
        <w:rPr>
          <w:rFonts w:ascii="Times New Roman" w:hAnsi="Times New Roman" w:cs="Times New Roman"/>
          <w:sz w:val="18"/>
          <w:szCs w:val="18"/>
        </w:rPr>
      </w:pPr>
      <w:r w:rsidRPr="00B04A17">
        <w:rPr>
          <w:rFonts w:ascii="Times New Roman" w:hAnsi="Times New Roman" w:cs="Times New Roman"/>
          <w:b/>
          <w:sz w:val="18"/>
          <w:szCs w:val="18"/>
        </w:rPr>
        <w:t>Source</w:t>
      </w:r>
      <w:r w:rsidRPr="00B04A17">
        <w:rPr>
          <w:rFonts w:ascii="Times New Roman" w:hAnsi="Times New Roman" w:cs="Times New Roman"/>
          <w:sz w:val="18"/>
          <w:szCs w:val="18"/>
        </w:rPr>
        <w:t xml:space="preserve">: </w:t>
      </w:r>
      <w:r w:rsidR="00EB42D0" w:rsidRPr="00B04A17">
        <w:rPr>
          <w:rFonts w:ascii="Times New Roman" w:hAnsi="Times New Roman" w:cs="Times New Roman"/>
          <w:sz w:val="18"/>
          <w:szCs w:val="18"/>
        </w:rPr>
        <w:t xml:space="preserve"> World Bank Annual Reports</w:t>
      </w:r>
      <w:r w:rsidR="003C0A0C" w:rsidRPr="00B04A17">
        <w:rPr>
          <w:rFonts w:ascii="Times New Roman" w:hAnsi="Times New Roman" w:cs="Times New Roman"/>
          <w:sz w:val="18"/>
          <w:szCs w:val="18"/>
        </w:rPr>
        <w:t xml:space="preserve"> </w:t>
      </w:r>
      <w:r w:rsidR="003C0A0C" w:rsidRPr="00B04A17">
        <w:rPr>
          <w:rFonts w:ascii="Times New Roman" w:hAnsi="Times New Roman" w:cs="Times New Roman"/>
          <w:sz w:val="18"/>
          <w:szCs w:val="18"/>
        </w:rPr>
        <w:tab/>
      </w:r>
      <w:r w:rsidR="003C0A0C" w:rsidRPr="00B04A17">
        <w:rPr>
          <w:rFonts w:ascii="Times New Roman" w:hAnsi="Times New Roman" w:cs="Times New Roman"/>
          <w:sz w:val="18"/>
          <w:szCs w:val="18"/>
        </w:rPr>
        <w:tab/>
        <w:t xml:space="preserve">      </w:t>
      </w:r>
      <w:r w:rsidR="00AC466D">
        <w:rPr>
          <w:rFonts w:ascii="Times New Roman" w:hAnsi="Times New Roman" w:cs="Times New Roman"/>
          <w:sz w:val="18"/>
          <w:szCs w:val="18"/>
        </w:rPr>
        <w:tab/>
        <w:t xml:space="preserve">       </w:t>
      </w:r>
      <w:r w:rsidR="002C0E39" w:rsidRPr="00B04A17">
        <w:rPr>
          <w:rFonts w:ascii="Times New Roman" w:hAnsi="Times New Roman" w:cs="Times New Roman"/>
          <w:sz w:val="18"/>
          <w:szCs w:val="18"/>
        </w:rPr>
        <w:t xml:space="preserve">   </w:t>
      </w:r>
      <w:r w:rsidR="003C0A0C" w:rsidRPr="00B04A17">
        <w:rPr>
          <w:rFonts w:ascii="Times New Roman" w:hAnsi="Times New Roman" w:cs="Times New Roman"/>
          <w:b/>
          <w:sz w:val="18"/>
          <w:szCs w:val="18"/>
        </w:rPr>
        <w:t>Source</w:t>
      </w:r>
      <w:r w:rsidR="003C0A0C" w:rsidRPr="00B04A17">
        <w:rPr>
          <w:rFonts w:ascii="Times New Roman" w:hAnsi="Times New Roman" w:cs="Times New Roman"/>
          <w:sz w:val="18"/>
          <w:szCs w:val="18"/>
        </w:rPr>
        <w:t>: Annual Reports</w:t>
      </w:r>
    </w:p>
    <w:p w:rsidR="003C0A0C" w:rsidRPr="00B04A17" w:rsidRDefault="003C0A0C" w:rsidP="00B04A17">
      <w:pPr>
        <w:pStyle w:val="ListParagraph"/>
        <w:spacing w:line="240" w:lineRule="auto"/>
        <w:ind w:left="4678" w:right="289"/>
        <w:jc w:val="both"/>
        <w:rPr>
          <w:rFonts w:ascii="Times New Roman" w:hAnsi="Times New Roman" w:cs="Times New Roman"/>
          <w:i/>
          <w:sz w:val="18"/>
          <w:szCs w:val="18"/>
        </w:rPr>
      </w:pPr>
      <w:r w:rsidRPr="00B04A17">
        <w:rPr>
          <w:rFonts w:ascii="Times New Roman" w:hAnsi="Times New Roman" w:cs="Times New Roman"/>
          <w:i/>
          <w:sz w:val="18"/>
          <w:szCs w:val="18"/>
        </w:rPr>
        <w:t>* Commitments approved in financial year for low- and middle-income countries, as classified by the World Bank. As referred to lending, excludes EU facilities, which are grants.</w:t>
      </w:r>
    </w:p>
    <w:p w:rsidR="002A1073" w:rsidRPr="00E12CEA" w:rsidRDefault="006F226E" w:rsidP="006005F5">
      <w:pPr>
        <w:pStyle w:val="ListParagraph"/>
        <w:tabs>
          <w:tab w:val="left" w:pos="567"/>
        </w:tabs>
        <w:spacing w:after="120" w:line="240" w:lineRule="auto"/>
        <w:ind w:left="0" w:right="-45"/>
        <w:jc w:val="both"/>
        <w:rPr>
          <w:rFonts w:ascii="Times New Roman" w:hAnsi="Times New Roman" w:cs="Times New Roman"/>
          <w:sz w:val="24"/>
          <w:szCs w:val="24"/>
        </w:rPr>
      </w:pPr>
      <w:r>
        <w:rPr>
          <w:rFonts w:ascii="Times New Roman" w:hAnsi="Times New Roman" w:cs="Times New Roman"/>
          <w:sz w:val="24"/>
          <w:szCs w:val="24"/>
        </w:rPr>
        <w:lastRenderedPageBreak/>
        <w:t>1</w:t>
      </w:r>
      <w:r w:rsidR="00C35C6E">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00380A7B" w:rsidRPr="00E12CEA">
        <w:rPr>
          <w:rFonts w:ascii="Times New Roman" w:hAnsi="Times New Roman" w:cs="Times New Roman"/>
          <w:sz w:val="24"/>
          <w:szCs w:val="24"/>
        </w:rPr>
        <w:t xml:space="preserve">The IFIs broad response to the crisis was driven by a significant increase in overall lending and it is instructive that much of the response was channelled through regular, rather than crisis facilities. </w:t>
      </w:r>
      <w:r w:rsidR="00025A08" w:rsidRPr="00E12CEA">
        <w:rPr>
          <w:rFonts w:ascii="Times New Roman" w:hAnsi="Times New Roman" w:cs="Times New Roman"/>
          <w:sz w:val="24"/>
          <w:szCs w:val="24"/>
        </w:rPr>
        <w:t xml:space="preserve">Notwithstanding this, shock financing through </w:t>
      </w:r>
      <w:r w:rsidR="00025A08" w:rsidRPr="00E12CEA">
        <w:rPr>
          <w:rFonts w:ascii="Times New Roman" w:hAnsi="Times New Roman" w:cs="Times New Roman"/>
          <w:noProof/>
          <w:color w:val="000000"/>
          <w:sz w:val="24"/>
          <w:szCs w:val="24"/>
        </w:rPr>
        <w:t xml:space="preserve">special facilities by IFIs also increased significantly for LICs, increasing  from very low levels in 2006-2008, to  just over $2.5 billion in 2010, the peak year. </w:t>
      </w:r>
      <w:r w:rsidR="00380A7B" w:rsidRPr="00E12CEA">
        <w:rPr>
          <w:rFonts w:ascii="Times New Roman" w:hAnsi="Times New Roman" w:cs="Times New Roman"/>
          <w:sz w:val="24"/>
          <w:szCs w:val="24"/>
        </w:rPr>
        <w:t>Figure 6 illustrates the range and dispersion of these facilities between</w:t>
      </w:r>
      <w:r w:rsidR="00C35C6E">
        <w:rPr>
          <w:rFonts w:ascii="Times New Roman" w:hAnsi="Times New Roman" w:cs="Times New Roman"/>
          <w:sz w:val="24"/>
          <w:szCs w:val="24"/>
        </w:rPr>
        <w:t xml:space="preserve"> </w:t>
      </w:r>
      <w:r w:rsidR="00B96176">
        <w:rPr>
          <w:rFonts w:ascii="Times New Roman" w:hAnsi="Times New Roman" w:cs="Times New Roman"/>
          <w:sz w:val="24"/>
          <w:szCs w:val="24"/>
        </w:rPr>
        <w:t>2</w:t>
      </w:r>
      <w:r w:rsidR="00380A7B" w:rsidRPr="00E12CEA">
        <w:rPr>
          <w:rFonts w:ascii="Times New Roman" w:hAnsi="Times New Roman" w:cs="Times New Roman"/>
          <w:sz w:val="24"/>
          <w:szCs w:val="24"/>
        </w:rPr>
        <w:t>006</w:t>
      </w:r>
      <w:r w:rsidR="002C0E39">
        <w:rPr>
          <w:rFonts w:ascii="Times New Roman" w:hAnsi="Times New Roman" w:cs="Times New Roman"/>
          <w:sz w:val="24"/>
          <w:szCs w:val="24"/>
        </w:rPr>
        <w:t>-</w:t>
      </w:r>
      <w:r w:rsidR="00380A7B" w:rsidRPr="00E12CEA">
        <w:rPr>
          <w:rFonts w:ascii="Times New Roman" w:hAnsi="Times New Roman" w:cs="Times New Roman"/>
          <w:sz w:val="24"/>
          <w:szCs w:val="24"/>
        </w:rPr>
        <w:t>2011.</w:t>
      </w:r>
    </w:p>
    <w:p w:rsidR="002C0E39" w:rsidRDefault="002C0E39" w:rsidP="00E12CEA">
      <w:pPr>
        <w:pStyle w:val="ListParagraph"/>
        <w:spacing w:after="120" w:line="240" w:lineRule="auto"/>
        <w:ind w:left="0" w:right="289"/>
        <w:jc w:val="both"/>
        <w:rPr>
          <w:rFonts w:ascii="Times New Roman" w:hAnsi="Times New Roman" w:cs="Times New Roman"/>
          <w:sz w:val="24"/>
          <w:szCs w:val="24"/>
        </w:rPr>
      </w:pPr>
    </w:p>
    <w:p w:rsidR="002C0E39" w:rsidRPr="00E12CEA" w:rsidRDefault="002C0E39" w:rsidP="00E12CEA">
      <w:pPr>
        <w:pStyle w:val="ListParagraph"/>
        <w:spacing w:after="120" w:line="240" w:lineRule="auto"/>
        <w:ind w:left="0" w:right="289"/>
        <w:jc w:val="both"/>
        <w:rPr>
          <w:rFonts w:ascii="Times New Roman" w:hAnsi="Times New Roman" w:cs="Times New Roman"/>
          <w:sz w:val="24"/>
          <w:szCs w:val="24"/>
        </w:rPr>
      </w:pPr>
    </w:p>
    <w:p w:rsidR="002A1073" w:rsidRPr="007F6CE2" w:rsidRDefault="002C0E39" w:rsidP="00E12CEA">
      <w:pPr>
        <w:pStyle w:val="ListParagraph"/>
        <w:spacing w:after="120" w:line="240" w:lineRule="auto"/>
        <w:ind w:left="0" w:right="289"/>
        <w:jc w:val="both"/>
        <w:rPr>
          <w:rFonts w:ascii="Times New Roman" w:hAnsi="Times New Roman" w:cs="Times New Roman"/>
          <w:sz w:val="24"/>
          <w:szCs w:val="24"/>
        </w:rPr>
      </w:pPr>
      <w:r w:rsidRPr="0084147B">
        <w:rPr>
          <w:rFonts w:ascii="Times New Roman" w:hAnsi="Times New Roman" w:cs="Times New Roman"/>
          <w:b/>
        </w:rPr>
        <w:t>Figure 4: Total IFI lending to all developing countries by income level (2006-2011)</w:t>
      </w:r>
    </w:p>
    <w:p w:rsidR="00EB42D0" w:rsidRPr="0084147B" w:rsidRDefault="00EB42D0" w:rsidP="002A1073">
      <w:pPr>
        <w:pStyle w:val="ListParagraph"/>
        <w:spacing w:line="240" w:lineRule="auto"/>
        <w:ind w:left="0" w:right="289"/>
        <w:jc w:val="both"/>
        <w:rPr>
          <w:rFonts w:ascii="Times New Roman" w:hAnsi="Times New Roman" w:cs="Times New Roman"/>
          <w:b/>
        </w:rPr>
      </w:pPr>
    </w:p>
    <w:p w:rsidR="002A1073" w:rsidRDefault="003C0A0C" w:rsidP="002A1073">
      <w:pPr>
        <w:pStyle w:val="ListParagraph"/>
        <w:spacing w:line="240" w:lineRule="auto"/>
        <w:ind w:left="0" w:right="289"/>
        <w:jc w:val="both"/>
        <w:rPr>
          <w:rFonts w:asciiTheme="minorHAnsi" w:hAnsiTheme="minorHAnsi" w:cstheme="minorHAnsi"/>
          <w:i/>
        </w:rPr>
      </w:pPr>
      <w:r w:rsidRPr="00E84800">
        <w:rPr>
          <w:rFonts w:asciiTheme="minorHAnsi" w:hAnsiTheme="minorHAnsi" w:cstheme="minorHAnsi"/>
          <w:noProof/>
        </w:rPr>
        <w:drawing>
          <wp:anchor distT="0" distB="0" distL="114300" distR="114300" simplePos="0" relativeHeight="251660288" behindDoc="0" locked="0" layoutInCell="1" allowOverlap="1" wp14:anchorId="14066AA5" wp14:editId="553604D8">
            <wp:simplePos x="0" y="0"/>
            <wp:positionH relativeFrom="column">
              <wp:align>left</wp:align>
            </wp:positionH>
            <wp:positionV relativeFrom="paragraph">
              <wp:align>top</wp:align>
            </wp:positionV>
            <wp:extent cx="3339465" cy="2313305"/>
            <wp:effectExtent l="0" t="0" r="13335" b="1079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2A1073" w:rsidRDefault="002A1073" w:rsidP="00622F49">
      <w:pPr>
        <w:pStyle w:val="ListParagraph"/>
        <w:ind w:left="0" w:right="288"/>
        <w:rPr>
          <w:rFonts w:asciiTheme="minorHAnsi" w:eastAsia="Times New Roman" w:hAnsiTheme="minorHAnsi" w:cstheme="minorHAnsi"/>
          <w:b/>
          <w:color w:val="000000"/>
        </w:rPr>
      </w:pPr>
    </w:p>
    <w:p w:rsidR="003C0A0C" w:rsidRDefault="003C0A0C" w:rsidP="00622F49">
      <w:pPr>
        <w:pStyle w:val="ListParagraph"/>
        <w:ind w:left="0" w:right="288"/>
        <w:rPr>
          <w:rFonts w:asciiTheme="minorHAnsi" w:eastAsia="Times New Roman" w:hAnsiTheme="minorHAnsi" w:cstheme="minorHAnsi"/>
          <w:b/>
          <w:color w:val="000000"/>
        </w:rPr>
      </w:pPr>
    </w:p>
    <w:p w:rsidR="003C0A0C" w:rsidRDefault="003C0A0C" w:rsidP="00622F49">
      <w:pPr>
        <w:pStyle w:val="ListParagraph"/>
        <w:ind w:left="0" w:right="288"/>
        <w:rPr>
          <w:rFonts w:asciiTheme="minorHAnsi" w:eastAsia="Times New Roman" w:hAnsiTheme="minorHAnsi" w:cstheme="minorHAnsi"/>
          <w:b/>
          <w:color w:val="000000"/>
        </w:rPr>
      </w:pPr>
    </w:p>
    <w:p w:rsidR="003C0A0C" w:rsidRDefault="003C0A0C" w:rsidP="00622F49">
      <w:pPr>
        <w:pStyle w:val="ListParagraph"/>
        <w:ind w:left="0" w:right="288"/>
        <w:rPr>
          <w:rFonts w:asciiTheme="minorHAnsi" w:eastAsia="Times New Roman" w:hAnsiTheme="minorHAnsi" w:cstheme="minorHAnsi"/>
          <w:b/>
          <w:color w:val="000000"/>
        </w:rPr>
      </w:pPr>
    </w:p>
    <w:p w:rsidR="003C0A0C" w:rsidRDefault="003C0A0C" w:rsidP="00622F49">
      <w:pPr>
        <w:pStyle w:val="ListParagraph"/>
        <w:ind w:left="0" w:right="288"/>
        <w:rPr>
          <w:rFonts w:asciiTheme="minorHAnsi" w:eastAsia="Times New Roman" w:hAnsiTheme="minorHAnsi" w:cstheme="minorHAnsi"/>
          <w:b/>
          <w:color w:val="000000"/>
        </w:rPr>
      </w:pPr>
    </w:p>
    <w:p w:rsidR="003C0A0C" w:rsidRDefault="003C0A0C" w:rsidP="00622F49">
      <w:pPr>
        <w:pStyle w:val="ListParagraph"/>
        <w:ind w:left="0" w:right="288"/>
        <w:rPr>
          <w:rFonts w:asciiTheme="minorHAnsi" w:eastAsia="Times New Roman" w:hAnsiTheme="minorHAnsi" w:cstheme="minorHAnsi"/>
          <w:b/>
          <w:color w:val="000000"/>
        </w:rPr>
      </w:pPr>
    </w:p>
    <w:p w:rsidR="002C0E39" w:rsidRDefault="002C0E39" w:rsidP="00622F49">
      <w:pPr>
        <w:pStyle w:val="ListParagraph"/>
        <w:ind w:left="0" w:right="288"/>
        <w:rPr>
          <w:rFonts w:asciiTheme="minorHAnsi" w:eastAsia="Times New Roman" w:hAnsiTheme="minorHAnsi" w:cstheme="minorHAnsi"/>
          <w:b/>
          <w:color w:val="000000"/>
        </w:rPr>
      </w:pPr>
    </w:p>
    <w:p w:rsidR="002C0E39" w:rsidRDefault="002C0E39" w:rsidP="00622F49">
      <w:pPr>
        <w:pStyle w:val="ListParagraph"/>
        <w:ind w:left="0" w:right="288"/>
        <w:rPr>
          <w:rFonts w:asciiTheme="minorHAnsi" w:eastAsia="Times New Roman" w:hAnsiTheme="minorHAnsi" w:cstheme="minorHAnsi"/>
          <w:b/>
          <w:color w:val="000000"/>
        </w:rPr>
      </w:pPr>
    </w:p>
    <w:p w:rsidR="002C0E39" w:rsidRDefault="002C0E39" w:rsidP="00622F49">
      <w:pPr>
        <w:pStyle w:val="ListParagraph"/>
        <w:ind w:left="0" w:right="288"/>
        <w:rPr>
          <w:rFonts w:asciiTheme="minorHAnsi" w:eastAsia="Times New Roman" w:hAnsiTheme="minorHAnsi" w:cstheme="minorHAnsi"/>
          <w:b/>
          <w:color w:val="000000"/>
        </w:rPr>
      </w:pPr>
    </w:p>
    <w:p w:rsidR="002C0E39" w:rsidRDefault="002C0E39" w:rsidP="00622F49">
      <w:pPr>
        <w:pStyle w:val="ListParagraph"/>
        <w:ind w:left="0" w:right="288"/>
        <w:rPr>
          <w:rFonts w:asciiTheme="minorHAnsi" w:eastAsia="Times New Roman" w:hAnsiTheme="minorHAnsi" w:cstheme="minorHAnsi"/>
          <w:b/>
          <w:color w:val="000000"/>
        </w:rPr>
      </w:pPr>
    </w:p>
    <w:p w:rsidR="00397D23" w:rsidRDefault="00397D23" w:rsidP="002C0E39">
      <w:pPr>
        <w:pStyle w:val="ListParagraph"/>
        <w:spacing w:line="240" w:lineRule="auto"/>
        <w:ind w:left="0" w:right="289"/>
        <w:jc w:val="both"/>
        <w:rPr>
          <w:rFonts w:asciiTheme="minorHAnsi" w:hAnsiTheme="minorHAnsi" w:cstheme="minorHAnsi"/>
          <w:b/>
          <w:sz w:val="18"/>
          <w:szCs w:val="18"/>
        </w:rPr>
      </w:pPr>
    </w:p>
    <w:p w:rsidR="00397D23" w:rsidRDefault="00397D23" w:rsidP="002C0E39">
      <w:pPr>
        <w:pStyle w:val="ListParagraph"/>
        <w:spacing w:line="240" w:lineRule="auto"/>
        <w:ind w:left="0" w:right="289"/>
        <w:jc w:val="both"/>
        <w:rPr>
          <w:rFonts w:asciiTheme="minorHAnsi" w:hAnsiTheme="minorHAnsi" w:cstheme="minorHAnsi"/>
          <w:b/>
          <w:sz w:val="18"/>
          <w:szCs w:val="18"/>
        </w:rPr>
      </w:pPr>
    </w:p>
    <w:p w:rsidR="002C0E39" w:rsidRPr="00B04A17" w:rsidRDefault="002C0E39" w:rsidP="002C0E39">
      <w:pPr>
        <w:pStyle w:val="ListParagraph"/>
        <w:spacing w:line="240" w:lineRule="auto"/>
        <w:ind w:left="0" w:right="289"/>
        <w:jc w:val="both"/>
        <w:rPr>
          <w:rFonts w:asciiTheme="minorHAnsi" w:hAnsiTheme="minorHAnsi" w:cstheme="minorHAnsi"/>
          <w:i/>
          <w:sz w:val="18"/>
          <w:szCs w:val="18"/>
        </w:rPr>
      </w:pPr>
      <w:r w:rsidRPr="00B04A17">
        <w:rPr>
          <w:rFonts w:asciiTheme="minorHAnsi" w:hAnsiTheme="minorHAnsi" w:cstheme="minorHAnsi"/>
          <w:b/>
          <w:sz w:val="18"/>
          <w:szCs w:val="18"/>
        </w:rPr>
        <w:t>Source</w:t>
      </w:r>
      <w:r w:rsidRPr="00B04A17">
        <w:rPr>
          <w:rFonts w:asciiTheme="minorHAnsi" w:hAnsiTheme="minorHAnsi" w:cstheme="minorHAnsi"/>
          <w:sz w:val="18"/>
          <w:szCs w:val="18"/>
        </w:rPr>
        <w:t>: Annual Reports</w:t>
      </w:r>
    </w:p>
    <w:p w:rsidR="002C0E39" w:rsidRPr="00E84800" w:rsidRDefault="002C0E39" w:rsidP="002C0E39">
      <w:pPr>
        <w:pStyle w:val="ListParagraph"/>
        <w:spacing w:line="240" w:lineRule="auto"/>
        <w:ind w:left="0" w:right="289"/>
        <w:jc w:val="both"/>
        <w:rPr>
          <w:rFonts w:asciiTheme="minorHAnsi" w:hAnsiTheme="minorHAnsi" w:cstheme="minorHAnsi"/>
          <w:i/>
        </w:rPr>
      </w:pPr>
      <w:r w:rsidRPr="000F5853">
        <w:rPr>
          <w:rFonts w:asciiTheme="minorHAnsi" w:hAnsiTheme="minorHAnsi" w:cstheme="minorHAnsi"/>
          <w:i/>
          <w:sz w:val="18"/>
          <w:szCs w:val="18"/>
        </w:rPr>
        <w:t>* Commitments approved by IFIs in financial year for low- and middle-income countries, as classified by the World Bank; excludes EU grants</w:t>
      </w:r>
      <w:r w:rsidRPr="00E84800">
        <w:rPr>
          <w:rFonts w:asciiTheme="minorHAnsi" w:hAnsiTheme="minorHAnsi" w:cstheme="minorHAnsi"/>
          <w:i/>
        </w:rPr>
        <w:t>.</w:t>
      </w:r>
    </w:p>
    <w:p w:rsidR="002C0E39" w:rsidRDefault="002C0E39" w:rsidP="00622F49">
      <w:pPr>
        <w:pStyle w:val="ListParagraph"/>
        <w:ind w:left="0" w:right="288"/>
        <w:rPr>
          <w:rFonts w:asciiTheme="minorHAnsi" w:eastAsia="Times New Roman" w:hAnsiTheme="minorHAnsi" w:cstheme="minorHAnsi"/>
          <w:b/>
          <w:color w:val="000000"/>
        </w:rPr>
      </w:pPr>
    </w:p>
    <w:p w:rsidR="00B96176" w:rsidRDefault="00B96176" w:rsidP="00622F49">
      <w:pPr>
        <w:pStyle w:val="ListParagraph"/>
        <w:ind w:left="0" w:right="288"/>
        <w:rPr>
          <w:rFonts w:asciiTheme="minorHAnsi" w:eastAsia="Times New Roman" w:hAnsiTheme="minorHAnsi" w:cstheme="minorHAnsi"/>
          <w:b/>
          <w:color w:val="000000"/>
        </w:rPr>
      </w:pPr>
    </w:p>
    <w:p w:rsidR="00FB1F93" w:rsidRPr="0084147B" w:rsidRDefault="002A1073" w:rsidP="00B04A17">
      <w:pPr>
        <w:pStyle w:val="ListParagraph"/>
        <w:spacing w:after="120" w:line="240" w:lineRule="auto"/>
        <w:ind w:left="0" w:right="289"/>
        <w:rPr>
          <w:rFonts w:ascii="Times New Roman" w:eastAsia="Times New Roman" w:hAnsi="Times New Roman" w:cs="Times New Roman"/>
          <w:b/>
          <w:color w:val="000000"/>
        </w:rPr>
      </w:pPr>
      <w:r w:rsidRPr="0084147B">
        <w:rPr>
          <w:rFonts w:ascii="Times New Roman" w:eastAsia="Times New Roman" w:hAnsi="Times New Roman" w:cs="Times New Roman"/>
          <w:b/>
          <w:color w:val="000000"/>
        </w:rPr>
        <w:t>T</w:t>
      </w:r>
      <w:r w:rsidR="00142025" w:rsidRPr="0084147B">
        <w:rPr>
          <w:rFonts w:ascii="Times New Roman" w:eastAsia="Times New Roman" w:hAnsi="Times New Roman" w:cs="Times New Roman"/>
          <w:b/>
          <w:color w:val="000000"/>
        </w:rPr>
        <w:t>able</w:t>
      </w:r>
      <w:r w:rsidR="00B9215B" w:rsidRPr="0084147B">
        <w:rPr>
          <w:rFonts w:ascii="Times New Roman" w:eastAsia="Times New Roman" w:hAnsi="Times New Roman" w:cs="Times New Roman"/>
          <w:b/>
          <w:color w:val="000000"/>
        </w:rPr>
        <w:t xml:space="preserve"> 4</w:t>
      </w:r>
      <w:r w:rsidRPr="0084147B">
        <w:rPr>
          <w:rFonts w:ascii="Times New Roman" w:eastAsia="Times New Roman" w:hAnsi="Times New Roman" w:cs="Times New Roman"/>
          <w:b/>
          <w:color w:val="000000"/>
        </w:rPr>
        <w:t>: LIC and MIC lending</w:t>
      </w:r>
      <w:r w:rsidR="00ED4C91" w:rsidRPr="0084147B">
        <w:rPr>
          <w:rFonts w:ascii="Times New Roman" w:eastAsia="Times New Roman" w:hAnsi="Times New Roman" w:cs="Times New Roman"/>
          <w:b/>
          <w:color w:val="000000"/>
        </w:rPr>
        <w:t xml:space="preserve"> commitments</w:t>
      </w:r>
      <w:r w:rsidR="00DF710E" w:rsidRPr="0084147B">
        <w:rPr>
          <w:rFonts w:ascii="Times New Roman" w:eastAsia="Times New Roman" w:hAnsi="Times New Roman" w:cs="Times New Roman"/>
          <w:b/>
          <w:color w:val="000000"/>
        </w:rPr>
        <w:t xml:space="preserve"> for all IFIs</w:t>
      </w:r>
      <w:r w:rsidRPr="0084147B">
        <w:rPr>
          <w:rFonts w:ascii="Times New Roman" w:eastAsia="Times New Roman" w:hAnsi="Times New Roman" w:cs="Times New Roman"/>
          <w:b/>
          <w:color w:val="000000"/>
        </w:rPr>
        <w:t xml:space="preserve"> (US$ Millions)</w:t>
      </w:r>
    </w:p>
    <w:tbl>
      <w:tblPr>
        <w:tblW w:w="8440" w:type="dxa"/>
        <w:tblInd w:w="103" w:type="dxa"/>
        <w:tblLook w:val="04A0" w:firstRow="1" w:lastRow="0" w:firstColumn="1" w:lastColumn="0" w:noHBand="0" w:noVBand="1"/>
      </w:tblPr>
      <w:tblGrid>
        <w:gridCol w:w="960"/>
        <w:gridCol w:w="2620"/>
        <w:gridCol w:w="960"/>
        <w:gridCol w:w="960"/>
        <w:gridCol w:w="960"/>
        <w:gridCol w:w="960"/>
        <w:gridCol w:w="1020"/>
      </w:tblGrid>
      <w:tr w:rsidR="004B3BFE" w:rsidRPr="00E84800" w:rsidTr="004B3BF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 </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b/>
                <w:bCs/>
                <w:color w:val="000000"/>
              </w:rPr>
            </w:pPr>
            <w:r w:rsidRPr="00E84800">
              <w:rPr>
                <w:rFonts w:eastAsia="Times New Roman" w:cstheme="minorHAnsi"/>
                <w:b/>
                <w:bCs/>
                <w:color w:val="000000"/>
              </w:rPr>
              <w:t>2006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b/>
                <w:bCs/>
                <w:color w:val="000000"/>
              </w:rPr>
            </w:pPr>
            <w:r w:rsidRPr="00E84800">
              <w:rPr>
                <w:rFonts w:eastAsia="Times New Roman" w:cstheme="minorHAnsi"/>
                <w:b/>
                <w:bCs/>
                <w:color w:val="000000"/>
              </w:rPr>
              <w:t>2007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b/>
                <w:bCs/>
                <w:color w:val="000000"/>
              </w:rPr>
            </w:pPr>
            <w:r w:rsidRPr="00E84800">
              <w:rPr>
                <w:rFonts w:eastAsia="Times New Roman" w:cstheme="minorHAnsi"/>
                <w:b/>
                <w:bCs/>
                <w:color w:val="000000"/>
              </w:rPr>
              <w:t>2008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b/>
                <w:bCs/>
                <w:color w:val="000000"/>
              </w:rPr>
            </w:pPr>
            <w:r w:rsidRPr="00E84800">
              <w:rPr>
                <w:rFonts w:eastAsia="Times New Roman" w:cstheme="minorHAnsi"/>
                <w:b/>
                <w:bCs/>
                <w:color w:val="000000"/>
              </w:rPr>
              <w:t>2009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b/>
                <w:bCs/>
                <w:color w:val="000000"/>
              </w:rPr>
            </w:pPr>
            <w:r w:rsidRPr="00E84800">
              <w:rPr>
                <w:rFonts w:eastAsia="Times New Roman" w:cstheme="minorHAnsi"/>
                <w:b/>
                <w:bCs/>
                <w:color w:val="000000"/>
              </w:rPr>
              <w:t>2010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b/>
                <w:bCs/>
                <w:color w:val="000000"/>
              </w:rPr>
            </w:pPr>
            <w:r w:rsidRPr="00E84800">
              <w:rPr>
                <w:rFonts w:eastAsia="Times New Roman" w:cstheme="minorHAnsi"/>
                <w:b/>
                <w:bCs/>
                <w:color w:val="000000"/>
              </w:rPr>
              <w:t>2011</w:t>
            </w:r>
          </w:p>
        </w:tc>
      </w:tr>
      <w:tr w:rsidR="004B3BFE" w:rsidRPr="00E84800" w:rsidTr="004B3BF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LIC</w:t>
            </w:r>
          </w:p>
        </w:tc>
        <w:tc>
          <w:tcPr>
            <w:tcW w:w="262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14,516</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17,582</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17,416</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23,092</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23,456</w:t>
            </w:r>
          </w:p>
        </w:tc>
        <w:tc>
          <w:tcPr>
            <w:tcW w:w="102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23,630</w:t>
            </w:r>
          </w:p>
        </w:tc>
      </w:tr>
      <w:tr w:rsidR="004B3BFE" w:rsidRPr="00E84800" w:rsidTr="004B3BF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MIC</w:t>
            </w:r>
          </w:p>
        </w:tc>
        <w:tc>
          <w:tcPr>
            <w:tcW w:w="262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40,234</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32,092</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36,584</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149,266</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179,594</w:t>
            </w:r>
          </w:p>
        </w:tc>
        <w:tc>
          <w:tcPr>
            <w:tcW w:w="102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178,937</w:t>
            </w:r>
          </w:p>
        </w:tc>
      </w:tr>
      <w:tr w:rsidR="004B3BFE" w:rsidRPr="00E84800" w:rsidTr="004B3BFE">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b/>
                <w:bCs/>
                <w:color w:val="000000"/>
              </w:rPr>
            </w:pPr>
            <w:r w:rsidRPr="00E84800">
              <w:rPr>
                <w:rFonts w:eastAsia="Times New Roman" w:cstheme="minorHAnsi"/>
                <w:b/>
                <w:bCs/>
                <w:color w:val="000000"/>
              </w:rPr>
              <w:t>Total</w:t>
            </w:r>
          </w:p>
        </w:tc>
        <w:tc>
          <w:tcPr>
            <w:tcW w:w="262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54,750</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49,674</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54,000</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172,358</w:t>
            </w:r>
          </w:p>
        </w:tc>
        <w:tc>
          <w:tcPr>
            <w:tcW w:w="96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203,050</w:t>
            </w:r>
          </w:p>
        </w:tc>
        <w:tc>
          <w:tcPr>
            <w:tcW w:w="1020" w:type="dxa"/>
            <w:tcBorders>
              <w:top w:val="nil"/>
              <w:left w:val="nil"/>
              <w:bottom w:val="single" w:sz="4" w:space="0" w:color="auto"/>
              <w:right w:val="single" w:sz="4" w:space="0" w:color="auto"/>
            </w:tcBorders>
            <w:shd w:val="clear" w:color="auto" w:fill="auto"/>
            <w:noWrap/>
            <w:vAlign w:val="bottom"/>
            <w:hideMark/>
          </w:tcPr>
          <w:p w:rsidR="004B3BFE" w:rsidRPr="00E84800" w:rsidRDefault="004B3BFE" w:rsidP="004B3BFE">
            <w:pPr>
              <w:spacing w:after="0" w:line="240" w:lineRule="auto"/>
              <w:rPr>
                <w:rFonts w:eastAsia="Times New Roman" w:cstheme="minorHAnsi"/>
                <w:color w:val="000000"/>
              </w:rPr>
            </w:pPr>
            <w:r w:rsidRPr="00E84800">
              <w:rPr>
                <w:rFonts w:eastAsia="Times New Roman" w:cstheme="minorHAnsi"/>
                <w:color w:val="000000"/>
              </w:rPr>
              <w:t>202,568</w:t>
            </w:r>
          </w:p>
        </w:tc>
      </w:tr>
    </w:tbl>
    <w:p w:rsidR="00FB1F93" w:rsidRPr="00B04A17" w:rsidRDefault="00ED4C91" w:rsidP="00622F49">
      <w:pPr>
        <w:pStyle w:val="ListParagraph"/>
        <w:ind w:left="0" w:right="288"/>
        <w:rPr>
          <w:rFonts w:asciiTheme="minorHAnsi" w:hAnsiTheme="minorHAnsi" w:cstheme="minorHAnsi"/>
          <w:sz w:val="20"/>
          <w:szCs w:val="20"/>
        </w:rPr>
      </w:pPr>
      <w:r w:rsidRPr="00B04A17">
        <w:rPr>
          <w:rFonts w:asciiTheme="minorHAnsi" w:hAnsiTheme="minorHAnsi" w:cstheme="minorHAnsi"/>
          <w:b/>
          <w:sz w:val="20"/>
          <w:szCs w:val="20"/>
        </w:rPr>
        <w:t>Source:</w:t>
      </w:r>
      <w:r w:rsidRPr="00B04A17">
        <w:rPr>
          <w:rFonts w:asciiTheme="minorHAnsi" w:hAnsiTheme="minorHAnsi" w:cstheme="minorHAnsi"/>
          <w:sz w:val="20"/>
          <w:szCs w:val="20"/>
        </w:rPr>
        <w:t xml:space="preserve"> </w:t>
      </w:r>
      <w:r w:rsidR="00EB42D0" w:rsidRPr="00B04A17">
        <w:rPr>
          <w:rFonts w:asciiTheme="minorHAnsi" w:hAnsiTheme="minorHAnsi" w:cstheme="minorHAnsi"/>
          <w:sz w:val="20"/>
          <w:szCs w:val="20"/>
        </w:rPr>
        <w:t>Annual reports</w:t>
      </w:r>
    </w:p>
    <w:p w:rsidR="00FB1F93" w:rsidRPr="00E84800" w:rsidRDefault="00FB1F93" w:rsidP="00622F49">
      <w:pPr>
        <w:pStyle w:val="ListParagraph"/>
        <w:ind w:left="0" w:right="288"/>
        <w:rPr>
          <w:rFonts w:asciiTheme="minorHAnsi" w:hAnsiTheme="minorHAnsi" w:cstheme="minorHAnsi"/>
          <w:i/>
        </w:rPr>
      </w:pPr>
    </w:p>
    <w:p w:rsidR="00B23D4C" w:rsidRPr="0084147B" w:rsidRDefault="00B9215B" w:rsidP="00B23D4C">
      <w:pPr>
        <w:pStyle w:val="ListParagraph"/>
        <w:ind w:left="0" w:right="288"/>
        <w:rPr>
          <w:rFonts w:ascii="Times New Roman" w:hAnsi="Times New Roman" w:cs="Times New Roman"/>
          <w:b/>
        </w:rPr>
      </w:pPr>
      <w:r w:rsidRPr="0084147B">
        <w:rPr>
          <w:rFonts w:ascii="Times New Roman" w:hAnsi="Times New Roman" w:cs="Times New Roman"/>
          <w:b/>
        </w:rPr>
        <w:t>Figure 5</w:t>
      </w:r>
      <w:r w:rsidR="00B23D4C" w:rsidRPr="0084147B">
        <w:rPr>
          <w:rFonts w:ascii="Times New Roman" w:hAnsi="Times New Roman" w:cs="Times New Roman"/>
          <w:b/>
        </w:rPr>
        <w:t>: Total IFI lending</w:t>
      </w:r>
      <w:r w:rsidR="002D56D0" w:rsidRPr="0084147B">
        <w:rPr>
          <w:rFonts w:ascii="Times New Roman" w:hAnsi="Times New Roman" w:cs="Times New Roman"/>
          <w:b/>
        </w:rPr>
        <w:t xml:space="preserve"> commitments</w:t>
      </w:r>
      <w:r w:rsidR="00B23D4C" w:rsidRPr="0084147B">
        <w:rPr>
          <w:rFonts w:ascii="Times New Roman" w:hAnsi="Times New Roman" w:cs="Times New Roman"/>
          <w:b/>
        </w:rPr>
        <w:t xml:space="preserve"> to l</w:t>
      </w:r>
      <w:r w:rsidR="000B36D1" w:rsidRPr="0084147B">
        <w:rPr>
          <w:rFonts w:ascii="Times New Roman" w:hAnsi="Times New Roman" w:cs="Times New Roman"/>
          <w:b/>
        </w:rPr>
        <w:t>ow-income countries (2006-2011)</w:t>
      </w:r>
    </w:p>
    <w:p w:rsidR="00B23D4C" w:rsidRPr="00E84800" w:rsidRDefault="00B13C2D" w:rsidP="00B23D4C">
      <w:pPr>
        <w:pStyle w:val="ListParagraph"/>
        <w:ind w:left="0" w:right="288"/>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1464C88F" wp14:editId="796ED39D">
                <wp:simplePos x="0" y="0"/>
                <wp:positionH relativeFrom="column">
                  <wp:posOffset>95250</wp:posOffset>
                </wp:positionH>
                <wp:positionV relativeFrom="paragraph">
                  <wp:posOffset>323850</wp:posOffset>
                </wp:positionV>
                <wp:extent cx="920750" cy="241300"/>
                <wp:effectExtent l="0" t="0" r="0" b="6350"/>
                <wp:wrapNone/>
                <wp:docPr id="1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2413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E10B3" w:rsidRPr="00AF1A31" w:rsidRDefault="008E10B3" w:rsidP="00B23D4C">
                            <w:pPr>
                              <w:pStyle w:val="NormalWeb"/>
                              <w:spacing w:before="0" w:beforeAutospacing="0" w:after="0" w:afterAutospacing="0"/>
                              <w:rPr>
                                <w:b/>
                                <w:sz w:val="18"/>
                                <w:szCs w:val="18"/>
                              </w:rPr>
                            </w:pPr>
                            <w:r w:rsidRPr="00AF1A31">
                              <w:rPr>
                                <w:rFonts w:asciiTheme="minorHAnsi" w:hAnsi="Calibri" w:cstheme="minorBidi"/>
                                <w:b/>
                                <w:color w:val="000000" w:themeColor="dark1"/>
                                <w:sz w:val="18"/>
                                <w:szCs w:val="18"/>
                              </w:rPr>
                              <w:t>US$ Millions</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7.5pt;margin-top:25.5pt;width:72.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nYAKwIAALkEAAAOAAAAZHJzL2Uyb0RvYy54bWysVNty2yAQfe9M/4HhvZbsxr1oLGfaZNKX&#10;TJNp0g/ACCwmwFLAltyv7wK+5PKUTF+QBOfs7jnLanE+Gk22wgcFtqXTSU2JsBw6Zdct/X1/9eEL&#10;JSEy2zENVrR0JwI9X75/txhcI2bQg+6EJxjEhmZwLe1jdE1VBd4Lw8IEnLB4KMEbFvHTr6vOswGj&#10;G13N6vpTNYDvnAcuQsDdy3JIlzm+lILHGymDiES3FGuLefV5XaW1Wi5Ys/bM9Yrvy2BvqMIwZTHp&#10;MdQli4xsvHoRyijuIYCMEw6mAikVF1kDqpnWz9Tc9cyJrAXNCe5oU/h/YfnP7a0nqsPenVFimcEe&#10;3YsxfoeRzJM7gwsNgu4cwuKI24jMSoO7Bv4QEFI9whRCQHRyY5TepCfqJEjEBuyOpmMSwnHz66z+&#10;PMcTjkezs+nHOjelOpGdD/GHAEPSS0s99jQXwLbXIab0rDlAUq4AWnVXSuv8ke6RuNCebBneAB2n&#10;SRMynqC0JQMWMp/NsQzj0Ixg1zmHhRSpULTdSy3qkugQd1qkPNr+EhJtzCJLYr9epbzlruEwoMTD&#10;jcP8mZCAEuO/krunJLbIV/yV/CMp5wcbj3yjLPjS3afGdQ8H42TBH6woBiQv4rga0aj0uoJuh9cF&#10;fwvxBhepAe3lWjlKevB/n+8NOH5o+Z8N84ISH/UFlGllliO+paXfFr5tIkiVe35Ks68E5yM3dj/L&#10;aQAff2fU6Y+z/AcAAP//AwBQSwMEFAAGAAgAAAAhAP+4XPreAAAACAEAAA8AAABkcnMvZG93bnJl&#10;di54bWxMj81OwzAQhO9IvIO1SNyoXaSWJsSpChHiQoVokLhuY+dHxOsQu214+25PcNodzWr2m2w9&#10;uV4c7Rg6TxrmMwXCUuVNR42Gz/LlbgUiRCSDvSer4dcGWOfXVxmmxp/owx53sREcQiFFDW2MQypl&#10;qFrrMMz8YIm92o8OI8uxkWbEE4e7Xt4rtZQOO+IPLQ72ubXV9+7gNIybuiySovzxyQMWb+bp631b&#10;v2p9ezNtHkFEO8W/Y7jgMzrkzLT3BzJB9KwXXCVqWMx5Xvyl4mWvYZUokHkm/xfIzwAAAP//AwBQ&#10;SwECLQAUAAYACAAAACEAtoM4kv4AAADhAQAAEwAAAAAAAAAAAAAAAAAAAAAAW0NvbnRlbnRfVHlw&#10;ZXNdLnhtbFBLAQItABQABgAIAAAAIQA4/SH/1gAAAJQBAAALAAAAAAAAAAAAAAAAAC8BAABfcmVs&#10;cy8ucmVsc1BLAQItABQABgAIAAAAIQA91nYAKwIAALkEAAAOAAAAAAAAAAAAAAAAAC4CAABkcnMv&#10;ZTJvRG9jLnhtbFBLAQItABQABgAIAAAAIQD/uFz63gAAAAgBAAAPAAAAAAAAAAAAAAAAAIUEAABk&#10;cnMvZG93bnJldi54bWxQSwUGAAAAAAQABADzAAAAkAUAAAAA&#10;" fillcolor="white [3201]" stroked="f">
                <v:path arrowok="t"/>
                <v:textbox>
                  <w:txbxContent>
                    <w:p w:rsidR="00F8647A" w:rsidRPr="00AF1A31" w:rsidRDefault="00F8647A" w:rsidP="00B23D4C">
                      <w:pPr>
                        <w:pStyle w:val="NormalWeb"/>
                        <w:spacing w:before="0" w:beforeAutospacing="0" w:after="0" w:afterAutospacing="0"/>
                        <w:rPr>
                          <w:b/>
                          <w:sz w:val="18"/>
                          <w:szCs w:val="18"/>
                        </w:rPr>
                      </w:pPr>
                      <w:r w:rsidRPr="00AF1A31">
                        <w:rPr>
                          <w:rFonts w:asciiTheme="minorHAnsi" w:hAnsi="Calibri" w:cstheme="minorBidi"/>
                          <w:b/>
                          <w:color w:val="000000" w:themeColor="dark1"/>
                          <w:sz w:val="18"/>
                          <w:szCs w:val="18"/>
                        </w:rPr>
                        <w:t>US$ Millions</w:t>
                      </w:r>
                    </w:p>
                  </w:txbxContent>
                </v:textbox>
              </v:shape>
            </w:pict>
          </mc:Fallback>
        </mc:AlternateContent>
      </w:r>
      <w:r w:rsidR="00B23D4C" w:rsidRPr="00E84800">
        <w:rPr>
          <w:rFonts w:asciiTheme="minorHAnsi" w:hAnsiTheme="minorHAnsi" w:cstheme="minorHAnsi"/>
          <w:noProof/>
          <w:sz w:val="16"/>
          <w:szCs w:val="16"/>
        </w:rPr>
        <w:drawing>
          <wp:inline distT="0" distB="0" distL="0" distR="0" wp14:anchorId="2BB91AAF" wp14:editId="77416DBC">
            <wp:extent cx="4492487" cy="1765189"/>
            <wp:effectExtent l="0" t="0" r="22860" b="260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3D4C" w:rsidRPr="00B04A17" w:rsidRDefault="00B23D4C" w:rsidP="00B04A17">
      <w:pPr>
        <w:pStyle w:val="ListParagraph"/>
        <w:spacing w:after="0" w:line="240" w:lineRule="auto"/>
        <w:ind w:left="0" w:right="288"/>
        <w:jc w:val="both"/>
        <w:rPr>
          <w:rFonts w:asciiTheme="minorHAnsi" w:hAnsiTheme="minorHAnsi" w:cstheme="minorHAnsi"/>
          <w:sz w:val="18"/>
          <w:szCs w:val="18"/>
        </w:rPr>
      </w:pPr>
      <w:r w:rsidRPr="00B04A17">
        <w:rPr>
          <w:rFonts w:asciiTheme="minorHAnsi" w:hAnsiTheme="minorHAnsi" w:cstheme="minorHAnsi"/>
          <w:b/>
          <w:sz w:val="18"/>
          <w:szCs w:val="18"/>
        </w:rPr>
        <w:t>Source:</w:t>
      </w:r>
      <w:r w:rsidRPr="00B04A17">
        <w:rPr>
          <w:rFonts w:asciiTheme="minorHAnsi" w:hAnsiTheme="minorHAnsi" w:cstheme="minorHAnsi"/>
          <w:sz w:val="18"/>
          <w:szCs w:val="18"/>
        </w:rPr>
        <w:t xml:space="preserve"> Annual Reports</w:t>
      </w:r>
    </w:p>
    <w:p w:rsidR="00B23D4C" w:rsidRPr="00B04A17" w:rsidRDefault="00B23D4C" w:rsidP="00B04A17">
      <w:pPr>
        <w:pStyle w:val="ListParagraph"/>
        <w:spacing w:after="0" w:line="240" w:lineRule="auto"/>
        <w:ind w:left="0" w:right="288"/>
        <w:jc w:val="both"/>
        <w:rPr>
          <w:rFonts w:asciiTheme="minorHAnsi" w:hAnsiTheme="minorHAnsi" w:cstheme="minorHAnsi"/>
          <w:i/>
          <w:sz w:val="18"/>
          <w:szCs w:val="18"/>
        </w:rPr>
      </w:pPr>
      <w:r w:rsidRPr="00B04A17">
        <w:rPr>
          <w:rFonts w:asciiTheme="minorHAnsi" w:hAnsiTheme="minorHAnsi" w:cstheme="minorHAnsi"/>
          <w:i/>
          <w:sz w:val="18"/>
          <w:szCs w:val="18"/>
        </w:rPr>
        <w:t>*Commitments approved in financial year for low-income countries, as classified by the World Ban</w:t>
      </w:r>
      <w:r w:rsidR="000A0A3B" w:rsidRPr="00B04A17">
        <w:rPr>
          <w:rFonts w:asciiTheme="minorHAnsi" w:hAnsiTheme="minorHAnsi" w:cstheme="minorHAnsi"/>
          <w:i/>
          <w:sz w:val="18"/>
          <w:szCs w:val="18"/>
        </w:rPr>
        <w:t>. Excludes EU grants</w:t>
      </w:r>
    </w:p>
    <w:p w:rsidR="002C0E39" w:rsidRDefault="002C0E39" w:rsidP="00B23D4C">
      <w:pPr>
        <w:pStyle w:val="ListParagraph"/>
        <w:ind w:left="0" w:right="288"/>
        <w:rPr>
          <w:rFonts w:asciiTheme="minorHAnsi" w:hAnsiTheme="minorHAnsi" w:cstheme="minorHAnsi"/>
          <w:i/>
        </w:rPr>
      </w:pPr>
    </w:p>
    <w:p w:rsidR="007C780B" w:rsidRPr="0084147B" w:rsidRDefault="00B9215B" w:rsidP="007C780B">
      <w:pPr>
        <w:pStyle w:val="ListParagraph"/>
        <w:ind w:left="0" w:right="288"/>
        <w:rPr>
          <w:rFonts w:ascii="Times New Roman" w:hAnsi="Times New Roman" w:cs="Times New Roman"/>
        </w:rPr>
      </w:pPr>
      <w:r w:rsidRPr="0084147B">
        <w:rPr>
          <w:rFonts w:ascii="Times New Roman" w:eastAsia="Times New Roman" w:hAnsi="Times New Roman" w:cs="Times New Roman"/>
          <w:b/>
          <w:bCs/>
          <w:color w:val="000000"/>
        </w:rPr>
        <w:lastRenderedPageBreak/>
        <w:t>Table 5</w:t>
      </w:r>
      <w:r w:rsidR="007C780B" w:rsidRPr="0084147B">
        <w:rPr>
          <w:rFonts w:ascii="Times New Roman" w:eastAsia="Times New Roman" w:hAnsi="Times New Roman" w:cs="Times New Roman"/>
          <w:b/>
          <w:bCs/>
          <w:color w:val="000000"/>
        </w:rPr>
        <w:t xml:space="preserve"> Low income country </w:t>
      </w:r>
      <w:r w:rsidR="00DF710E" w:rsidRPr="0084147B">
        <w:rPr>
          <w:rFonts w:ascii="Times New Roman" w:eastAsia="Times New Roman" w:hAnsi="Times New Roman" w:cs="Times New Roman"/>
          <w:b/>
          <w:bCs/>
          <w:color w:val="000000"/>
        </w:rPr>
        <w:t xml:space="preserve">total IFI </w:t>
      </w:r>
      <w:r w:rsidR="007C780B" w:rsidRPr="0084147B">
        <w:rPr>
          <w:rFonts w:ascii="Times New Roman" w:eastAsia="Times New Roman" w:hAnsi="Times New Roman" w:cs="Times New Roman"/>
          <w:b/>
          <w:bCs/>
          <w:color w:val="000000"/>
        </w:rPr>
        <w:t xml:space="preserve">lending </w:t>
      </w:r>
      <w:r w:rsidR="00341A21" w:rsidRPr="0084147B">
        <w:rPr>
          <w:rFonts w:ascii="Times New Roman" w:eastAsia="Times New Roman" w:hAnsi="Times New Roman" w:cs="Times New Roman"/>
          <w:b/>
          <w:bCs/>
          <w:color w:val="000000"/>
        </w:rPr>
        <w:t xml:space="preserve">commitments </w:t>
      </w:r>
      <w:r w:rsidR="007C780B" w:rsidRPr="0084147B">
        <w:rPr>
          <w:rFonts w:ascii="Times New Roman" w:eastAsia="Times New Roman" w:hAnsi="Times New Roman" w:cs="Times New Roman"/>
          <w:b/>
          <w:bCs/>
          <w:color w:val="000000"/>
        </w:rPr>
        <w:t>(US$ Millions)</w:t>
      </w:r>
    </w:p>
    <w:tbl>
      <w:tblPr>
        <w:tblW w:w="8229" w:type="dxa"/>
        <w:tblInd w:w="108" w:type="dxa"/>
        <w:tblLook w:val="04A0" w:firstRow="1" w:lastRow="0" w:firstColumn="1" w:lastColumn="0" w:noHBand="0" w:noVBand="1"/>
      </w:tblPr>
      <w:tblGrid>
        <w:gridCol w:w="1519"/>
        <w:gridCol w:w="1976"/>
        <w:gridCol w:w="949"/>
        <w:gridCol w:w="949"/>
        <w:gridCol w:w="949"/>
        <w:gridCol w:w="949"/>
        <w:gridCol w:w="938"/>
      </w:tblGrid>
      <w:tr w:rsidR="007C780B" w:rsidRPr="00E84800" w:rsidTr="00B04A17">
        <w:trPr>
          <w:trHeight w:val="231"/>
        </w:trPr>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c>
          <w:tcPr>
            <w:tcW w:w="1976" w:type="dxa"/>
            <w:tcBorders>
              <w:top w:val="single" w:sz="4" w:space="0" w:color="auto"/>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2006</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2007</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2008</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2009</w:t>
            </w: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2010</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b/>
                <w:bCs/>
                <w:color w:val="000000"/>
                <w:sz w:val="20"/>
                <w:szCs w:val="20"/>
              </w:rPr>
            </w:pPr>
            <w:r w:rsidRPr="00BA5C92">
              <w:rPr>
                <w:rFonts w:ascii="Times New Roman" w:eastAsia="Times New Roman" w:hAnsi="Times New Roman" w:cs="Times New Roman"/>
                <w:b/>
                <w:bCs/>
                <w:color w:val="000000"/>
                <w:sz w:val="20"/>
                <w:szCs w:val="20"/>
              </w:rPr>
              <w:t>2011</w:t>
            </w:r>
          </w:p>
        </w:tc>
      </w:tr>
      <w:tr w:rsidR="007C780B" w:rsidRPr="00E84800" w:rsidTr="00B04A17">
        <w:trPr>
          <w:trHeight w:val="231"/>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780B" w:rsidRPr="00BA5C92" w:rsidRDefault="000A0A3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IDA/WB</w:t>
            </w:r>
          </w:p>
        </w:tc>
        <w:tc>
          <w:tcPr>
            <w:tcW w:w="1976"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9,506</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11,867</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11,235</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14,041</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14,550</w:t>
            </w:r>
          </w:p>
        </w:tc>
        <w:tc>
          <w:tcPr>
            <w:tcW w:w="938"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16,269</w:t>
            </w:r>
          </w:p>
        </w:tc>
      </w:tr>
      <w:tr w:rsidR="007C780B" w:rsidRPr="00E84800" w:rsidTr="00B04A17">
        <w:trPr>
          <w:trHeight w:val="231"/>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IMF</w:t>
            </w:r>
          </w:p>
        </w:tc>
        <w:tc>
          <w:tcPr>
            <w:tcW w:w="1976"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195</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550</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657</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1,452</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2,969</w:t>
            </w:r>
          </w:p>
        </w:tc>
        <w:tc>
          <w:tcPr>
            <w:tcW w:w="938"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1,626</w:t>
            </w:r>
          </w:p>
        </w:tc>
      </w:tr>
      <w:tr w:rsidR="007C780B" w:rsidRPr="00E84800" w:rsidTr="00B04A17">
        <w:trPr>
          <w:trHeight w:val="231"/>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IADB</w:t>
            </w:r>
          </w:p>
        </w:tc>
        <w:tc>
          <w:tcPr>
            <w:tcW w:w="1976"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605</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152</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138</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AF5F63"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xml:space="preserve">   </w:t>
            </w:r>
            <w:r w:rsidR="007C780B" w:rsidRPr="00BA5C92">
              <w:rPr>
                <w:rFonts w:ascii="Times New Roman" w:eastAsia="Times New Roman" w:hAnsi="Times New Roman" w:cs="Times New Roman"/>
                <w:color w:val="000000"/>
                <w:sz w:val="20"/>
                <w:szCs w:val="20"/>
              </w:rPr>
              <w:t>228</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AF5F63"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xml:space="preserve">   </w:t>
            </w:r>
            <w:r w:rsidR="007C780B" w:rsidRPr="00BA5C92">
              <w:rPr>
                <w:rFonts w:ascii="Times New Roman" w:eastAsia="Times New Roman" w:hAnsi="Times New Roman" w:cs="Times New Roman"/>
                <w:color w:val="000000"/>
                <w:sz w:val="20"/>
                <w:szCs w:val="20"/>
              </w:rPr>
              <w:t>297</w:t>
            </w:r>
          </w:p>
        </w:tc>
        <w:tc>
          <w:tcPr>
            <w:tcW w:w="938"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181</w:t>
            </w:r>
          </w:p>
        </w:tc>
      </w:tr>
      <w:tr w:rsidR="007C780B" w:rsidRPr="00E84800" w:rsidTr="00B04A17">
        <w:trPr>
          <w:trHeight w:val="231"/>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AsDB</w:t>
            </w:r>
          </w:p>
        </w:tc>
        <w:tc>
          <w:tcPr>
            <w:tcW w:w="1976"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1,802</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2,566</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2,471</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3,134</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3,195</w:t>
            </w:r>
          </w:p>
        </w:tc>
        <w:tc>
          <w:tcPr>
            <w:tcW w:w="938"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2,569</w:t>
            </w:r>
          </w:p>
        </w:tc>
      </w:tr>
      <w:tr w:rsidR="007C780B" w:rsidRPr="00E84800" w:rsidTr="00B04A17">
        <w:trPr>
          <w:trHeight w:val="231"/>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AfDB</w:t>
            </w:r>
          </w:p>
        </w:tc>
        <w:tc>
          <w:tcPr>
            <w:tcW w:w="1976"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2,408</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2,447</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2,915</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4,237</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2,445</w:t>
            </w:r>
          </w:p>
        </w:tc>
        <w:tc>
          <w:tcPr>
            <w:tcW w:w="938"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2,986</w:t>
            </w:r>
          </w:p>
        </w:tc>
      </w:tr>
      <w:tr w:rsidR="007C780B" w:rsidRPr="00E84800" w:rsidTr="00B04A17">
        <w:trPr>
          <w:trHeight w:val="231"/>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c>
          <w:tcPr>
            <w:tcW w:w="1976"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 </w:t>
            </w:r>
          </w:p>
        </w:tc>
      </w:tr>
      <w:tr w:rsidR="007C780B" w:rsidRPr="00E84800" w:rsidTr="00B04A17">
        <w:trPr>
          <w:trHeight w:val="231"/>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Total</w:t>
            </w:r>
          </w:p>
        </w:tc>
        <w:tc>
          <w:tcPr>
            <w:tcW w:w="1976"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14,516</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17,582</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17,416</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23,092</w:t>
            </w:r>
          </w:p>
        </w:tc>
        <w:tc>
          <w:tcPr>
            <w:tcW w:w="949"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23,456</w:t>
            </w:r>
          </w:p>
        </w:tc>
        <w:tc>
          <w:tcPr>
            <w:tcW w:w="938" w:type="dxa"/>
            <w:tcBorders>
              <w:top w:val="nil"/>
              <w:left w:val="nil"/>
              <w:bottom w:val="single" w:sz="4" w:space="0" w:color="auto"/>
              <w:right w:val="single" w:sz="4" w:space="0" w:color="auto"/>
            </w:tcBorders>
            <w:shd w:val="clear" w:color="auto" w:fill="auto"/>
            <w:noWrap/>
            <w:vAlign w:val="bottom"/>
            <w:hideMark/>
          </w:tcPr>
          <w:p w:rsidR="007C780B" w:rsidRPr="00BA5C92" w:rsidRDefault="007C780B" w:rsidP="00DE62CE">
            <w:pPr>
              <w:spacing w:after="0" w:line="240" w:lineRule="auto"/>
              <w:rPr>
                <w:rFonts w:ascii="Times New Roman" w:eastAsia="Times New Roman" w:hAnsi="Times New Roman" w:cs="Times New Roman"/>
                <w:color w:val="000000"/>
                <w:sz w:val="20"/>
                <w:szCs w:val="20"/>
              </w:rPr>
            </w:pPr>
            <w:r w:rsidRPr="00BA5C92">
              <w:rPr>
                <w:rFonts w:ascii="Times New Roman" w:eastAsia="Times New Roman" w:hAnsi="Times New Roman" w:cs="Times New Roman"/>
                <w:color w:val="000000"/>
                <w:sz w:val="20"/>
                <w:szCs w:val="20"/>
              </w:rPr>
              <w:t>23,630</w:t>
            </w:r>
          </w:p>
        </w:tc>
      </w:tr>
    </w:tbl>
    <w:p w:rsidR="007C780B" w:rsidRPr="00B04A17" w:rsidRDefault="007C780B" w:rsidP="007C780B">
      <w:pPr>
        <w:pStyle w:val="ListParagraph"/>
        <w:ind w:left="0" w:right="288"/>
        <w:rPr>
          <w:rFonts w:asciiTheme="minorHAnsi" w:hAnsiTheme="minorHAnsi" w:cstheme="minorHAnsi"/>
          <w:sz w:val="18"/>
          <w:szCs w:val="18"/>
        </w:rPr>
      </w:pPr>
      <w:r w:rsidRPr="00B04A17">
        <w:rPr>
          <w:rFonts w:asciiTheme="minorHAnsi" w:hAnsiTheme="minorHAnsi" w:cstheme="minorHAnsi"/>
          <w:b/>
          <w:sz w:val="18"/>
          <w:szCs w:val="18"/>
        </w:rPr>
        <w:t>Source:</w:t>
      </w:r>
      <w:r w:rsidRPr="00B04A17">
        <w:rPr>
          <w:rFonts w:asciiTheme="minorHAnsi" w:hAnsiTheme="minorHAnsi" w:cstheme="minorHAnsi"/>
          <w:sz w:val="18"/>
          <w:szCs w:val="18"/>
        </w:rPr>
        <w:t xml:space="preserve"> </w:t>
      </w:r>
      <w:r w:rsidR="005900A0" w:rsidRPr="00B04A17">
        <w:rPr>
          <w:rFonts w:asciiTheme="minorHAnsi" w:hAnsiTheme="minorHAnsi" w:cstheme="minorHAnsi"/>
          <w:sz w:val="18"/>
          <w:szCs w:val="18"/>
        </w:rPr>
        <w:t xml:space="preserve"> World Bank Annual Reports</w:t>
      </w:r>
    </w:p>
    <w:p w:rsidR="006579BC" w:rsidRPr="00BA5C92" w:rsidRDefault="00627F2D">
      <w:pPr>
        <w:pStyle w:val="Caption"/>
        <w:rPr>
          <w:rFonts w:ascii="Times New Roman" w:hAnsi="Times New Roman" w:cs="Times New Roman"/>
          <w:sz w:val="20"/>
          <w:szCs w:val="20"/>
        </w:rPr>
      </w:pPr>
      <w:r w:rsidRPr="0084147B">
        <w:rPr>
          <w:rFonts w:ascii="Times New Roman" w:hAnsi="Times New Roman" w:cs="Times New Roman"/>
          <w:bCs w:val="0"/>
        </w:rPr>
        <w:t>Table</w:t>
      </w:r>
      <w:r w:rsidR="006579BC" w:rsidRPr="0084147B">
        <w:rPr>
          <w:rFonts w:ascii="Times New Roman" w:hAnsi="Times New Roman" w:cs="Times New Roman"/>
          <w:bCs w:val="0"/>
        </w:rPr>
        <w:t xml:space="preserve"> </w:t>
      </w:r>
      <w:r w:rsidR="00B9215B" w:rsidRPr="0084147B">
        <w:rPr>
          <w:rFonts w:ascii="Times New Roman" w:hAnsi="Times New Roman" w:cs="Times New Roman"/>
          <w:bCs w:val="0"/>
        </w:rPr>
        <w:t>6</w:t>
      </w:r>
      <w:r w:rsidR="002311B7" w:rsidRPr="0084147B">
        <w:rPr>
          <w:rFonts w:ascii="Times New Roman" w:hAnsi="Times New Roman" w:cs="Times New Roman"/>
          <w:bCs w:val="0"/>
        </w:rPr>
        <w:t xml:space="preserve"> </w:t>
      </w:r>
      <w:r w:rsidR="006579BC" w:rsidRPr="0084147B">
        <w:rPr>
          <w:rFonts w:ascii="Times New Roman" w:hAnsi="Times New Roman" w:cs="Times New Roman"/>
          <w:bCs w:val="0"/>
        </w:rPr>
        <w:t xml:space="preserve">Financing committed as a percentage of shortfall in export earnings 2006-2009 </w:t>
      </w:r>
      <w:r w:rsidR="006579BC" w:rsidRPr="0084147B">
        <w:rPr>
          <w:rFonts w:ascii="Times New Roman" w:hAnsi="Times New Roman" w:cs="Times New Roman"/>
          <w:bCs w:val="0"/>
        </w:rPr>
        <w:br/>
      </w:r>
      <w:r w:rsidR="006579BC" w:rsidRPr="00E84800">
        <w:rPr>
          <w:rFonts w:asciiTheme="minorHAnsi" w:hAnsiTheme="minorHAnsi" w:cstheme="minorHAnsi"/>
          <w:b w:val="0"/>
          <w:bCs w:val="0"/>
        </w:rPr>
        <w:t>(</w:t>
      </w:r>
      <w:r w:rsidR="006579BC" w:rsidRPr="00BA5C92">
        <w:rPr>
          <w:rFonts w:ascii="Times New Roman" w:hAnsi="Times New Roman" w:cs="Times New Roman"/>
          <w:b w:val="0"/>
          <w:bCs w:val="0"/>
          <w:sz w:val="20"/>
          <w:szCs w:val="20"/>
        </w:rPr>
        <w:t>Note low net export shortfalls in 2007 affected 2007 figures).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E0" w:firstRow="1" w:lastRow="1" w:firstColumn="1" w:lastColumn="0" w:noHBand="0" w:noVBand="0"/>
      </w:tblPr>
      <w:tblGrid>
        <w:gridCol w:w="1709"/>
        <w:gridCol w:w="707"/>
        <w:gridCol w:w="812"/>
        <w:gridCol w:w="872"/>
        <w:gridCol w:w="872"/>
        <w:gridCol w:w="4071"/>
      </w:tblGrid>
      <w:tr w:rsidR="006579BC" w:rsidRPr="00773CC0" w:rsidTr="00AF68C7">
        <w:tc>
          <w:tcPr>
            <w:tcW w:w="945" w:type="pct"/>
          </w:tcPr>
          <w:p w:rsidR="006579BC" w:rsidRPr="00BA5C92" w:rsidRDefault="006579BC" w:rsidP="00AF68C7">
            <w:pPr>
              <w:pStyle w:val="ListParagraph"/>
              <w:spacing w:after="0" w:line="240" w:lineRule="auto"/>
              <w:ind w:left="72" w:right="72"/>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IFI</w:t>
            </w:r>
          </w:p>
        </w:tc>
        <w:tc>
          <w:tcPr>
            <w:tcW w:w="391" w:type="pct"/>
          </w:tcPr>
          <w:p w:rsidR="006579BC" w:rsidRPr="00BA5C92" w:rsidRDefault="006579BC" w:rsidP="00AF68C7">
            <w:pPr>
              <w:pStyle w:val="ListParagraph"/>
              <w:spacing w:after="0" w:line="240" w:lineRule="auto"/>
              <w:ind w:left="72" w:right="72"/>
              <w:jc w:val="center"/>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2006</w:t>
            </w:r>
          </w:p>
        </w:tc>
        <w:tc>
          <w:tcPr>
            <w:tcW w:w="449" w:type="pct"/>
          </w:tcPr>
          <w:p w:rsidR="006579BC" w:rsidRPr="00BA5C92" w:rsidRDefault="006579BC" w:rsidP="00AF68C7">
            <w:pPr>
              <w:pStyle w:val="ListParagraph"/>
              <w:spacing w:after="0" w:line="240" w:lineRule="auto"/>
              <w:ind w:left="72" w:right="72"/>
              <w:jc w:val="center"/>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2007</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2008</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2009</w:t>
            </w:r>
          </w:p>
        </w:tc>
        <w:tc>
          <w:tcPr>
            <w:tcW w:w="2251" w:type="pct"/>
          </w:tcPr>
          <w:p w:rsidR="006579BC" w:rsidRPr="00BA5C92" w:rsidRDefault="006579BC" w:rsidP="00AF68C7">
            <w:pPr>
              <w:pStyle w:val="ListParagraph"/>
              <w:spacing w:after="0" w:line="240" w:lineRule="auto"/>
              <w:ind w:left="72" w:right="72"/>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 xml:space="preserve">Facilities </w:t>
            </w:r>
          </w:p>
        </w:tc>
      </w:tr>
      <w:tr w:rsidR="006579BC" w:rsidRPr="00773CC0" w:rsidTr="00AF68C7">
        <w:tc>
          <w:tcPr>
            <w:tcW w:w="945" w:type="pct"/>
          </w:tcPr>
          <w:p w:rsidR="006579BC" w:rsidRPr="00BA5C92" w:rsidRDefault="006579BC" w:rsidP="00AF68C7">
            <w:pPr>
              <w:pStyle w:val="ListParagraph"/>
              <w:spacing w:after="0" w:line="240" w:lineRule="auto"/>
              <w:ind w:left="72" w:right="72"/>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EU</w:t>
            </w:r>
          </w:p>
        </w:tc>
        <w:tc>
          <w:tcPr>
            <w:tcW w:w="391"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4%</w:t>
            </w:r>
          </w:p>
        </w:tc>
        <w:tc>
          <w:tcPr>
            <w:tcW w:w="449"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18%</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22%</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7%</w:t>
            </w:r>
          </w:p>
        </w:tc>
        <w:tc>
          <w:tcPr>
            <w:tcW w:w="2251" w:type="pct"/>
          </w:tcPr>
          <w:p w:rsidR="006579BC" w:rsidRPr="00BA5C92" w:rsidRDefault="006579BC" w:rsidP="00AF68C7">
            <w:pPr>
              <w:pStyle w:val="ListParagraph"/>
              <w:spacing w:after="0" w:line="240" w:lineRule="auto"/>
              <w:ind w:left="72" w:right="72"/>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FLEX, V-FLEX</w:t>
            </w:r>
          </w:p>
        </w:tc>
      </w:tr>
      <w:tr w:rsidR="006579BC" w:rsidRPr="00773CC0" w:rsidTr="00AF68C7">
        <w:tc>
          <w:tcPr>
            <w:tcW w:w="945" w:type="pct"/>
          </w:tcPr>
          <w:p w:rsidR="006579BC" w:rsidRPr="00BA5C92" w:rsidRDefault="006579BC" w:rsidP="00AF68C7">
            <w:pPr>
              <w:pStyle w:val="ListParagraph"/>
              <w:spacing w:after="0" w:line="240" w:lineRule="auto"/>
              <w:ind w:left="72" w:right="72"/>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IMF</w:t>
            </w:r>
          </w:p>
        </w:tc>
        <w:tc>
          <w:tcPr>
            <w:tcW w:w="391"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5%</w:t>
            </w:r>
          </w:p>
        </w:tc>
        <w:tc>
          <w:tcPr>
            <w:tcW w:w="449"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67%</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15%</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22%</w:t>
            </w:r>
          </w:p>
        </w:tc>
        <w:tc>
          <w:tcPr>
            <w:tcW w:w="2251" w:type="pct"/>
          </w:tcPr>
          <w:p w:rsidR="006579BC" w:rsidRPr="00BA5C92" w:rsidRDefault="006579BC" w:rsidP="00AF68C7">
            <w:pPr>
              <w:pStyle w:val="ListParagraph"/>
              <w:spacing w:after="0" w:line="240" w:lineRule="auto"/>
              <w:ind w:left="72" w:right="72"/>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Emergency assistance, SCF/ESF, ESF</w:t>
            </w:r>
          </w:p>
        </w:tc>
      </w:tr>
      <w:tr w:rsidR="006579BC" w:rsidRPr="00773CC0" w:rsidTr="00AF68C7">
        <w:tc>
          <w:tcPr>
            <w:tcW w:w="945" w:type="pct"/>
          </w:tcPr>
          <w:p w:rsidR="006579BC" w:rsidRPr="00BA5C92" w:rsidRDefault="006579BC" w:rsidP="00AF68C7">
            <w:pPr>
              <w:pStyle w:val="ListParagraph"/>
              <w:spacing w:after="0" w:line="240" w:lineRule="auto"/>
              <w:ind w:left="72" w:right="72"/>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IDA</w:t>
            </w:r>
          </w:p>
        </w:tc>
        <w:tc>
          <w:tcPr>
            <w:tcW w:w="391"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0%</w:t>
            </w:r>
          </w:p>
        </w:tc>
        <w:tc>
          <w:tcPr>
            <w:tcW w:w="449"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0%</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19%</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4%</w:t>
            </w:r>
          </w:p>
        </w:tc>
        <w:tc>
          <w:tcPr>
            <w:tcW w:w="2251" w:type="pct"/>
          </w:tcPr>
          <w:p w:rsidR="006579BC" w:rsidRPr="00BA5C92" w:rsidRDefault="006579BC" w:rsidP="00AF68C7">
            <w:pPr>
              <w:pStyle w:val="ListParagraph"/>
              <w:spacing w:after="0" w:line="240" w:lineRule="auto"/>
              <w:ind w:left="72" w:right="72"/>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CRW, Food &amp; Social Response Programs</w:t>
            </w:r>
          </w:p>
        </w:tc>
      </w:tr>
      <w:tr w:rsidR="006579BC" w:rsidRPr="00773CC0" w:rsidTr="00AF68C7">
        <w:tc>
          <w:tcPr>
            <w:tcW w:w="945" w:type="pct"/>
          </w:tcPr>
          <w:p w:rsidR="006579BC" w:rsidRPr="00BA5C92" w:rsidRDefault="006579BC" w:rsidP="00AF68C7">
            <w:pPr>
              <w:pStyle w:val="ListParagraph"/>
              <w:spacing w:after="0" w:line="240" w:lineRule="auto"/>
              <w:ind w:left="72" w:right="72"/>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IDA: CRW only</w:t>
            </w:r>
          </w:p>
        </w:tc>
        <w:tc>
          <w:tcPr>
            <w:tcW w:w="391"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0%</w:t>
            </w:r>
          </w:p>
        </w:tc>
        <w:tc>
          <w:tcPr>
            <w:tcW w:w="449"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0%</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0%</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0%</w:t>
            </w:r>
          </w:p>
        </w:tc>
        <w:tc>
          <w:tcPr>
            <w:tcW w:w="2251" w:type="pct"/>
          </w:tcPr>
          <w:p w:rsidR="006579BC" w:rsidRPr="00BA5C92" w:rsidRDefault="006579BC" w:rsidP="00AF68C7">
            <w:pPr>
              <w:pStyle w:val="ListParagraph"/>
              <w:spacing w:after="0" w:line="240" w:lineRule="auto"/>
              <w:ind w:left="72" w:right="72"/>
              <w:rPr>
                <w:rFonts w:ascii="Times New Roman" w:hAnsi="Times New Roman" w:cs="Times New Roman"/>
                <w:noProof/>
                <w:color w:val="000000"/>
                <w:sz w:val="20"/>
                <w:szCs w:val="20"/>
              </w:rPr>
            </w:pPr>
            <w:r w:rsidRPr="00BA5C92">
              <w:rPr>
                <w:rFonts w:ascii="Times New Roman" w:hAnsi="Times New Roman" w:cs="Times New Roman"/>
                <w:noProof/>
                <w:color w:val="000000"/>
                <w:sz w:val="20"/>
                <w:szCs w:val="20"/>
              </w:rPr>
              <w:t>CRW only</w:t>
            </w:r>
          </w:p>
        </w:tc>
      </w:tr>
      <w:tr w:rsidR="006579BC" w:rsidRPr="00773CC0" w:rsidTr="00AF68C7">
        <w:tc>
          <w:tcPr>
            <w:tcW w:w="945" w:type="pct"/>
          </w:tcPr>
          <w:p w:rsidR="006579BC" w:rsidRPr="00BA5C92" w:rsidRDefault="006579BC" w:rsidP="00AF68C7">
            <w:pPr>
              <w:pStyle w:val="ListParagraph"/>
              <w:spacing w:after="0" w:line="240" w:lineRule="auto"/>
              <w:ind w:left="72" w:right="72"/>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All IFIs</w:t>
            </w:r>
          </w:p>
        </w:tc>
        <w:tc>
          <w:tcPr>
            <w:tcW w:w="391" w:type="pct"/>
          </w:tcPr>
          <w:p w:rsidR="006579BC" w:rsidRPr="00BA5C92" w:rsidRDefault="006579BC" w:rsidP="00AF68C7">
            <w:pPr>
              <w:pStyle w:val="ListParagraph"/>
              <w:spacing w:after="0" w:line="240" w:lineRule="auto"/>
              <w:ind w:left="72" w:right="72"/>
              <w:jc w:val="center"/>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9%</w:t>
            </w:r>
          </w:p>
        </w:tc>
        <w:tc>
          <w:tcPr>
            <w:tcW w:w="449" w:type="pct"/>
          </w:tcPr>
          <w:p w:rsidR="006579BC" w:rsidRPr="00BA5C92" w:rsidRDefault="006579BC" w:rsidP="00AF68C7">
            <w:pPr>
              <w:pStyle w:val="ListParagraph"/>
              <w:spacing w:after="0" w:line="240" w:lineRule="auto"/>
              <w:ind w:left="72" w:right="72"/>
              <w:jc w:val="center"/>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84%</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56%</w:t>
            </w:r>
          </w:p>
        </w:tc>
        <w:tc>
          <w:tcPr>
            <w:tcW w:w="482" w:type="pct"/>
          </w:tcPr>
          <w:p w:rsidR="006579BC" w:rsidRPr="00BA5C92" w:rsidRDefault="006579BC" w:rsidP="00AF68C7">
            <w:pPr>
              <w:pStyle w:val="ListParagraph"/>
              <w:spacing w:after="0" w:line="240" w:lineRule="auto"/>
              <w:ind w:left="72" w:right="72"/>
              <w:jc w:val="center"/>
              <w:rPr>
                <w:rFonts w:ascii="Times New Roman" w:hAnsi="Times New Roman" w:cs="Times New Roman"/>
                <w:b/>
                <w:bCs/>
                <w:noProof/>
                <w:color w:val="000000"/>
                <w:sz w:val="20"/>
                <w:szCs w:val="20"/>
              </w:rPr>
            </w:pPr>
            <w:r w:rsidRPr="00BA5C92">
              <w:rPr>
                <w:rFonts w:ascii="Times New Roman" w:hAnsi="Times New Roman" w:cs="Times New Roman"/>
                <w:b/>
                <w:bCs/>
                <w:noProof/>
                <w:color w:val="000000"/>
                <w:sz w:val="20"/>
                <w:szCs w:val="20"/>
              </w:rPr>
              <w:t>34%</w:t>
            </w:r>
          </w:p>
        </w:tc>
        <w:tc>
          <w:tcPr>
            <w:tcW w:w="2251" w:type="pct"/>
          </w:tcPr>
          <w:p w:rsidR="006579BC" w:rsidRPr="00BA5C92" w:rsidRDefault="006579BC" w:rsidP="00AF68C7">
            <w:pPr>
              <w:pStyle w:val="ListParagraph"/>
              <w:spacing w:after="0" w:line="240" w:lineRule="auto"/>
              <w:ind w:left="72" w:right="72"/>
              <w:rPr>
                <w:rFonts w:ascii="Times New Roman" w:hAnsi="Times New Roman" w:cs="Times New Roman"/>
                <w:noProof/>
                <w:color w:val="000000"/>
                <w:sz w:val="20"/>
                <w:szCs w:val="20"/>
              </w:rPr>
            </w:pPr>
          </w:p>
        </w:tc>
      </w:tr>
    </w:tbl>
    <w:p w:rsidR="003C0A0C" w:rsidRPr="00357DDF" w:rsidRDefault="006579BC" w:rsidP="006579BC">
      <w:pPr>
        <w:pStyle w:val="ListParagraph"/>
        <w:spacing w:after="0" w:line="240" w:lineRule="auto"/>
        <w:ind w:left="0"/>
        <w:rPr>
          <w:rFonts w:asciiTheme="minorHAnsi" w:hAnsiTheme="minorHAnsi" w:cstheme="minorHAnsi"/>
          <w:noProof/>
          <w:color w:val="000000"/>
          <w:sz w:val="18"/>
          <w:szCs w:val="18"/>
        </w:rPr>
      </w:pPr>
      <w:r w:rsidRPr="00357DDF">
        <w:rPr>
          <w:rFonts w:asciiTheme="minorHAnsi" w:hAnsiTheme="minorHAnsi" w:cstheme="minorHAnsi"/>
          <w:i/>
          <w:iCs/>
          <w:noProof/>
          <w:color w:val="000000"/>
          <w:sz w:val="18"/>
          <w:szCs w:val="18"/>
        </w:rPr>
        <w:t>Note</w:t>
      </w:r>
      <w:r w:rsidRPr="00357DDF">
        <w:rPr>
          <w:rFonts w:asciiTheme="minorHAnsi" w:hAnsiTheme="minorHAnsi" w:cstheme="minorHAnsi"/>
          <w:noProof/>
          <w:color w:val="000000"/>
          <w:sz w:val="18"/>
          <w:szCs w:val="18"/>
        </w:rPr>
        <w:t>: CRW only started to be disbursed in 2010</w:t>
      </w:r>
      <w:r w:rsidR="00AF5F63" w:rsidRPr="00357DDF">
        <w:rPr>
          <w:rFonts w:asciiTheme="minorHAnsi" w:hAnsiTheme="minorHAnsi" w:cstheme="minorHAnsi"/>
          <w:noProof/>
          <w:color w:val="000000"/>
          <w:sz w:val="18"/>
          <w:szCs w:val="18"/>
        </w:rPr>
        <w:t>; includes EU grants, as well as  IFI loans</w:t>
      </w:r>
      <w:r w:rsidR="002D56D0" w:rsidRPr="00357DDF">
        <w:rPr>
          <w:rFonts w:asciiTheme="minorHAnsi" w:hAnsiTheme="minorHAnsi" w:cstheme="minorHAnsi"/>
          <w:noProof/>
          <w:color w:val="000000"/>
          <w:sz w:val="18"/>
          <w:szCs w:val="18"/>
        </w:rPr>
        <w:t>; refers to ACP countries</w:t>
      </w:r>
      <w:r w:rsidR="00DF710E" w:rsidRPr="00357DDF">
        <w:rPr>
          <w:rFonts w:asciiTheme="minorHAnsi" w:hAnsiTheme="minorHAnsi" w:cstheme="minorHAnsi"/>
          <w:noProof/>
          <w:color w:val="000000"/>
          <w:sz w:val="18"/>
          <w:szCs w:val="18"/>
        </w:rPr>
        <w:t>. Source:TeVelde, Griffith-Jones, et al , op cit</w:t>
      </w:r>
    </w:p>
    <w:p w:rsidR="003C0A0C" w:rsidRDefault="003C0A0C" w:rsidP="006579BC">
      <w:pPr>
        <w:pStyle w:val="ListParagraph"/>
        <w:spacing w:after="0" w:line="240" w:lineRule="auto"/>
        <w:ind w:left="0"/>
        <w:rPr>
          <w:rFonts w:asciiTheme="minorHAnsi" w:hAnsiTheme="minorHAnsi" w:cstheme="minorHAnsi"/>
          <w:noProof/>
          <w:color w:val="000000"/>
          <w:sz w:val="20"/>
          <w:szCs w:val="20"/>
        </w:rPr>
      </w:pPr>
    </w:p>
    <w:p w:rsidR="00773CC0" w:rsidRPr="00E84800" w:rsidRDefault="00773CC0" w:rsidP="006579BC">
      <w:pPr>
        <w:pStyle w:val="ListParagraph"/>
        <w:spacing w:after="0" w:line="240" w:lineRule="auto"/>
        <w:ind w:left="0"/>
        <w:rPr>
          <w:rFonts w:asciiTheme="minorHAnsi" w:hAnsiTheme="minorHAnsi" w:cstheme="minorHAnsi"/>
          <w:noProof/>
          <w:color w:val="000000"/>
          <w:sz w:val="20"/>
          <w:szCs w:val="20"/>
        </w:rPr>
      </w:pPr>
    </w:p>
    <w:p w:rsidR="003C0A0C" w:rsidRPr="0084147B" w:rsidRDefault="003C0A0C" w:rsidP="003C0A0C">
      <w:pPr>
        <w:pStyle w:val="Caption"/>
        <w:ind w:right="288"/>
        <w:rPr>
          <w:rFonts w:ascii="Times New Roman" w:hAnsi="Times New Roman" w:cs="Times New Roman"/>
          <w:bCs w:val="0"/>
        </w:rPr>
      </w:pPr>
      <w:r w:rsidRPr="0084147B">
        <w:rPr>
          <w:rFonts w:ascii="Times New Roman" w:hAnsi="Times New Roman" w:cs="Times New Roman"/>
          <w:bCs w:val="0"/>
        </w:rPr>
        <w:t>Figure 6:  Shock financing by IFI, by crisis facility, 2006-2011 for low-income countries</w:t>
      </w:r>
    </w:p>
    <w:p w:rsidR="00B52A1C" w:rsidRPr="00E84800" w:rsidRDefault="003C0A0C" w:rsidP="00DE62D7">
      <w:pPr>
        <w:pStyle w:val="Caption"/>
        <w:ind w:right="288"/>
        <w:jc w:val="both"/>
        <w:rPr>
          <w:rFonts w:asciiTheme="minorHAnsi" w:hAnsiTheme="minorHAnsi" w:cstheme="minorHAnsi"/>
          <w:b w:val="0"/>
          <w:bCs w:val="0"/>
          <w:i/>
        </w:rPr>
      </w:pPr>
      <w:r w:rsidRPr="00B04A17">
        <w:rPr>
          <w:rFonts w:asciiTheme="minorHAnsi" w:hAnsiTheme="minorHAnsi" w:cstheme="minorHAnsi"/>
          <w:noProof/>
        </w:rPr>
        <w:drawing>
          <wp:inline distT="0" distB="0" distL="0" distR="0" wp14:anchorId="241BAE0C" wp14:editId="54F0D9CD">
            <wp:extent cx="5072932" cy="1717482"/>
            <wp:effectExtent l="0" t="0" r="13970" b="1651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6B31" w:rsidRPr="00B04A17" w:rsidRDefault="00BF28C7">
      <w:pPr>
        <w:pStyle w:val="ListParagraph"/>
        <w:spacing w:line="240" w:lineRule="auto"/>
        <w:ind w:left="0" w:right="289"/>
        <w:jc w:val="both"/>
        <w:rPr>
          <w:rFonts w:asciiTheme="minorHAnsi" w:hAnsiTheme="minorHAnsi" w:cstheme="minorHAnsi"/>
          <w:i/>
          <w:sz w:val="18"/>
          <w:szCs w:val="18"/>
        </w:rPr>
      </w:pPr>
      <w:r w:rsidRPr="00B04A17">
        <w:rPr>
          <w:rFonts w:cstheme="minorHAnsi"/>
          <w:b/>
          <w:sz w:val="18"/>
          <w:szCs w:val="18"/>
        </w:rPr>
        <w:t>Source:</w:t>
      </w:r>
      <w:r w:rsidRPr="00B04A17">
        <w:rPr>
          <w:rFonts w:cstheme="minorHAnsi"/>
          <w:sz w:val="18"/>
          <w:szCs w:val="18"/>
        </w:rPr>
        <w:t xml:space="preserve"> Annual Reports</w:t>
      </w:r>
      <w:r w:rsidR="00852D04">
        <w:rPr>
          <w:rFonts w:asciiTheme="minorHAnsi" w:hAnsiTheme="minorHAnsi" w:cstheme="minorHAnsi"/>
          <w:sz w:val="18"/>
          <w:szCs w:val="18"/>
        </w:rPr>
        <w:t xml:space="preserve"> </w:t>
      </w:r>
      <w:r w:rsidRPr="00E84800">
        <w:rPr>
          <w:rFonts w:asciiTheme="minorHAnsi" w:hAnsiTheme="minorHAnsi" w:cstheme="minorHAnsi"/>
          <w:i/>
        </w:rPr>
        <w:t>*</w:t>
      </w:r>
      <w:r w:rsidRPr="00B04A17">
        <w:rPr>
          <w:rFonts w:asciiTheme="minorHAnsi" w:hAnsiTheme="minorHAnsi" w:cstheme="minorHAnsi"/>
          <w:i/>
          <w:sz w:val="18"/>
          <w:szCs w:val="18"/>
        </w:rPr>
        <w:t xml:space="preserve"> Commitments approved under facility in financial year for low-income countries, as classified by the World Bank. IMF Crisis Facilities consists of the SCF and RCF post 2010, and the ESF in 2010 and prior, which these facilities replaced.  EU financing is in the form of grants, whereas IMF, WB and RDB are concessional loans. </w:t>
      </w:r>
    </w:p>
    <w:p w:rsidR="00E72E81" w:rsidRDefault="00E72E81" w:rsidP="00B04A17">
      <w:pPr>
        <w:spacing w:after="120" w:line="240" w:lineRule="auto"/>
        <w:ind w:right="288"/>
        <w:jc w:val="both"/>
        <w:rPr>
          <w:rFonts w:ascii="Times New Roman" w:hAnsi="Times New Roman" w:cs="Times New Roman"/>
          <w:b/>
          <w:bCs/>
          <w:sz w:val="24"/>
          <w:szCs w:val="24"/>
        </w:rPr>
      </w:pPr>
    </w:p>
    <w:p w:rsidR="005D5F50" w:rsidRPr="00E12CEA" w:rsidRDefault="005D5F50" w:rsidP="00657DD2">
      <w:pPr>
        <w:tabs>
          <w:tab w:val="left" w:pos="9027"/>
        </w:tabs>
        <w:spacing w:after="120" w:line="240" w:lineRule="auto"/>
        <w:ind w:right="-45"/>
        <w:jc w:val="both"/>
        <w:rPr>
          <w:rFonts w:ascii="Times New Roman" w:hAnsi="Times New Roman" w:cs="Times New Roman"/>
          <w:b/>
          <w:bCs/>
          <w:sz w:val="24"/>
          <w:szCs w:val="24"/>
        </w:rPr>
      </w:pPr>
      <w:r w:rsidRPr="00E12CEA">
        <w:rPr>
          <w:rFonts w:ascii="Times New Roman" w:hAnsi="Times New Roman" w:cs="Times New Roman"/>
          <w:b/>
          <w:bCs/>
          <w:sz w:val="24"/>
          <w:szCs w:val="24"/>
        </w:rPr>
        <w:t>IMF</w:t>
      </w:r>
      <w:r w:rsidR="00025A08" w:rsidRPr="00E12CEA">
        <w:rPr>
          <w:rFonts w:ascii="Times New Roman" w:hAnsi="Times New Roman" w:cs="Times New Roman"/>
          <w:b/>
          <w:bCs/>
          <w:sz w:val="24"/>
          <w:szCs w:val="24"/>
        </w:rPr>
        <w:t xml:space="preserve"> Shock Facilities</w:t>
      </w:r>
    </w:p>
    <w:p w:rsidR="005D5F50" w:rsidRDefault="00C35C6E" w:rsidP="00657DD2">
      <w:pPr>
        <w:tabs>
          <w:tab w:val="left" w:pos="567"/>
          <w:tab w:val="left" w:pos="902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852D04" w:rsidRPr="005F6851">
        <w:rPr>
          <w:rFonts w:ascii="Times New Roman" w:hAnsi="Times New Roman" w:cs="Times New Roman"/>
          <w:b/>
          <w:sz w:val="24"/>
          <w:szCs w:val="24"/>
        </w:rPr>
        <w:t>I</w:t>
      </w:r>
      <w:r w:rsidR="005D5F50" w:rsidRPr="005F6851">
        <w:rPr>
          <w:rFonts w:ascii="Times New Roman" w:hAnsi="Times New Roman" w:cs="Times New Roman"/>
          <w:b/>
          <w:sz w:val="24"/>
          <w:szCs w:val="24"/>
        </w:rPr>
        <w:t xml:space="preserve">n recent years, the IMF has made important changes to its lending facilities, especially as a </w:t>
      </w:r>
      <w:r w:rsidR="00387D8F" w:rsidRPr="005F6851">
        <w:rPr>
          <w:rFonts w:ascii="Times New Roman" w:hAnsi="Times New Roman" w:cs="Times New Roman"/>
          <w:b/>
          <w:sz w:val="24"/>
          <w:szCs w:val="24"/>
        </w:rPr>
        <w:t>response to the global crisis.</w:t>
      </w:r>
      <w:r w:rsidR="00387D8F" w:rsidRPr="00E12CEA">
        <w:rPr>
          <w:rFonts w:ascii="Times New Roman" w:hAnsi="Times New Roman" w:cs="Times New Roman"/>
          <w:sz w:val="24"/>
          <w:szCs w:val="24"/>
        </w:rPr>
        <w:t xml:space="preserve"> Above all t</w:t>
      </w:r>
      <w:r w:rsidR="005D5F50" w:rsidRPr="00E12CEA">
        <w:rPr>
          <w:rFonts w:ascii="Times New Roman" w:hAnsi="Times New Roman" w:cs="Times New Roman"/>
          <w:sz w:val="24"/>
          <w:szCs w:val="24"/>
        </w:rPr>
        <w:t xml:space="preserve">he IMF responded rapidly to the crisis with commitments to developing countries increasing </w:t>
      </w:r>
      <w:r w:rsidR="00672AEB" w:rsidRPr="00E12CEA">
        <w:rPr>
          <w:rFonts w:ascii="Times New Roman" w:hAnsi="Times New Roman" w:cs="Times New Roman"/>
          <w:sz w:val="24"/>
          <w:szCs w:val="24"/>
        </w:rPr>
        <w:t xml:space="preserve">very sharply </w:t>
      </w:r>
      <w:r w:rsidR="005D5F50" w:rsidRPr="00E12CEA">
        <w:rPr>
          <w:rFonts w:ascii="Times New Roman" w:hAnsi="Times New Roman" w:cs="Times New Roman"/>
          <w:sz w:val="24"/>
          <w:szCs w:val="24"/>
        </w:rPr>
        <w:t xml:space="preserve">from $2 billion in 2008 to $83 billion in 2009 and $127 billion in 2011. This included, for PRGF-eligible countries, increases in commitments from $657 million </w:t>
      </w:r>
      <w:r w:rsidR="00915AD4" w:rsidRPr="00E12CEA">
        <w:rPr>
          <w:rFonts w:ascii="Times New Roman" w:hAnsi="Times New Roman" w:cs="Times New Roman"/>
          <w:sz w:val="24"/>
          <w:szCs w:val="24"/>
        </w:rPr>
        <w:t xml:space="preserve">in </w:t>
      </w:r>
      <w:r w:rsidR="005D5F50" w:rsidRPr="00E12CEA">
        <w:rPr>
          <w:rFonts w:ascii="Times New Roman" w:hAnsi="Times New Roman" w:cs="Times New Roman"/>
          <w:sz w:val="24"/>
          <w:szCs w:val="24"/>
        </w:rPr>
        <w:t>2008 to $1.5 billion in</w:t>
      </w:r>
      <w:r w:rsidR="00672AEB" w:rsidRPr="00E12CEA">
        <w:rPr>
          <w:rFonts w:ascii="Times New Roman" w:hAnsi="Times New Roman" w:cs="Times New Roman"/>
          <w:sz w:val="24"/>
          <w:szCs w:val="24"/>
        </w:rPr>
        <w:t xml:space="preserve"> 2009 and $3 billion in 2010</w:t>
      </w:r>
      <w:r w:rsidR="003A0357" w:rsidRPr="00E12CEA">
        <w:rPr>
          <w:rFonts w:ascii="Times New Roman" w:hAnsi="Times New Roman" w:cs="Times New Roman"/>
          <w:sz w:val="24"/>
          <w:szCs w:val="24"/>
        </w:rPr>
        <w:t xml:space="preserve">. Commitments subsequently </w:t>
      </w:r>
      <w:r w:rsidR="00672AEB" w:rsidRPr="00E12CEA">
        <w:rPr>
          <w:rFonts w:ascii="Times New Roman" w:hAnsi="Times New Roman" w:cs="Times New Roman"/>
          <w:sz w:val="24"/>
          <w:szCs w:val="24"/>
        </w:rPr>
        <w:t xml:space="preserve">declined </w:t>
      </w:r>
      <w:r w:rsidR="005D5F50" w:rsidRPr="00E12CEA">
        <w:rPr>
          <w:rFonts w:ascii="Times New Roman" w:hAnsi="Times New Roman" w:cs="Times New Roman"/>
          <w:sz w:val="24"/>
          <w:szCs w:val="24"/>
        </w:rPr>
        <w:t xml:space="preserve">to a lower, but still much greater than pre-crisis level, of $1.6 billion in 2011, as the crisis abated. </w:t>
      </w:r>
      <w:r w:rsidR="00672AEB" w:rsidRPr="00E12CEA">
        <w:rPr>
          <w:rFonts w:ascii="Times New Roman" w:hAnsi="Times New Roman" w:cs="Times New Roman"/>
          <w:sz w:val="24"/>
          <w:szCs w:val="24"/>
        </w:rPr>
        <w:t xml:space="preserve"> The</w:t>
      </w:r>
      <w:r w:rsidR="005D5F50" w:rsidRPr="00E12CEA">
        <w:rPr>
          <w:rFonts w:ascii="Times New Roman" w:hAnsi="Times New Roman" w:cs="Times New Roman"/>
          <w:sz w:val="24"/>
          <w:szCs w:val="24"/>
        </w:rPr>
        <w:t xml:space="preserve"> fairly strong increase of IMF lending to low income countries was facilitated by a doubling of a</w:t>
      </w:r>
      <w:r w:rsidR="002A1073" w:rsidRPr="00E12CEA">
        <w:rPr>
          <w:rFonts w:ascii="Times New Roman" w:hAnsi="Times New Roman" w:cs="Times New Roman"/>
          <w:sz w:val="24"/>
          <w:szCs w:val="24"/>
        </w:rPr>
        <w:t>ccess as a percentage of quotas</w:t>
      </w:r>
      <w:r w:rsidR="000A0A3B" w:rsidRPr="00E12CEA">
        <w:rPr>
          <w:rFonts w:ascii="Times New Roman" w:hAnsi="Times New Roman" w:cs="Times New Roman"/>
          <w:sz w:val="24"/>
          <w:szCs w:val="24"/>
        </w:rPr>
        <w:t xml:space="preserve"> for all facilities </w:t>
      </w:r>
      <w:r w:rsidR="005D5F50" w:rsidRPr="00E12CEA">
        <w:rPr>
          <w:rFonts w:ascii="Times New Roman" w:hAnsi="Times New Roman" w:cs="Times New Roman"/>
          <w:sz w:val="24"/>
          <w:szCs w:val="24"/>
        </w:rPr>
        <w:t xml:space="preserve">in 2009. </w:t>
      </w:r>
    </w:p>
    <w:p w:rsidR="00707A11" w:rsidRDefault="00707A11" w:rsidP="00B04A17">
      <w:pPr>
        <w:tabs>
          <w:tab w:val="left" w:pos="567"/>
        </w:tabs>
        <w:spacing w:after="0" w:line="240" w:lineRule="auto"/>
        <w:ind w:right="289"/>
        <w:jc w:val="both"/>
        <w:rPr>
          <w:rFonts w:ascii="Times New Roman" w:hAnsi="Times New Roman" w:cs="Times New Roman"/>
          <w:sz w:val="24"/>
          <w:szCs w:val="24"/>
        </w:rPr>
      </w:pPr>
    </w:p>
    <w:p w:rsidR="00672AEB" w:rsidRDefault="006F226E" w:rsidP="006005F5">
      <w:pPr>
        <w:tabs>
          <w:tab w:val="left" w:pos="567"/>
        </w:tabs>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1</w:t>
      </w:r>
      <w:r w:rsidR="00C35C6E">
        <w:rPr>
          <w:rFonts w:ascii="Times New Roman" w:hAnsi="Times New Roman" w:cs="Times New Roman"/>
          <w:sz w:val="24"/>
          <w:szCs w:val="24"/>
        </w:rPr>
        <w:t>8</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3A0357" w:rsidRPr="00E12CEA">
        <w:rPr>
          <w:rFonts w:ascii="Times New Roman" w:hAnsi="Times New Roman" w:cs="Times New Roman"/>
          <w:sz w:val="24"/>
          <w:szCs w:val="24"/>
        </w:rPr>
        <w:t>Al</w:t>
      </w:r>
      <w:r w:rsidR="005D5F50" w:rsidRPr="00E12CEA">
        <w:rPr>
          <w:rFonts w:ascii="Times New Roman" w:hAnsi="Times New Roman" w:cs="Times New Roman"/>
          <w:sz w:val="24"/>
          <w:szCs w:val="24"/>
        </w:rPr>
        <w:t xml:space="preserve">though these were large </w:t>
      </w:r>
      <w:r w:rsidR="003A0357" w:rsidRPr="00E12CEA">
        <w:rPr>
          <w:rFonts w:ascii="Times New Roman" w:hAnsi="Times New Roman" w:cs="Times New Roman"/>
          <w:sz w:val="24"/>
          <w:szCs w:val="24"/>
        </w:rPr>
        <w:t xml:space="preserve">and welcome </w:t>
      </w:r>
      <w:r w:rsidR="005D5F50" w:rsidRPr="00E12CEA">
        <w:rPr>
          <w:rFonts w:ascii="Times New Roman" w:hAnsi="Times New Roman" w:cs="Times New Roman"/>
          <w:sz w:val="24"/>
          <w:szCs w:val="24"/>
        </w:rPr>
        <w:t xml:space="preserve">increases in IMF lending for </w:t>
      </w:r>
      <w:r w:rsidR="00066263">
        <w:rPr>
          <w:rFonts w:ascii="Times New Roman" w:hAnsi="Times New Roman" w:cs="Times New Roman"/>
          <w:sz w:val="24"/>
          <w:szCs w:val="24"/>
        </w:rPr>
        <w:t>LICs</w:t>
      </w:r>
      <w:r w:rsidR="0055792A" w:rsidRPr="00E12CEA">
        <w:rPr>
          <w:rFonts w:ascii="Times New Roman" w:hAnsi="Times New Roman" w:cs="Times New Roman"/>
          <w:sz w:val="24"/>
          <w:szCs w:val="24"/>
        </w:rPr>
        <w:t>, three</w:t>
      </w:r>
      <w:r w:rsidR="00D370CF" w:rsidRPr="00E12CEA">
        <w:rPr>
          <w:rFonts w:ascii="Times New Roman" w:hAnsi="Times New Roman" w:cs="Times New Roman"/>
          <w:sz w:val="24"/>
          <w:szCs w:val="24"/>
        </w:rPr>
        <w:t xml:space="preserve"> particular features of the </w:t>
      </w:r>
      <w:r w:rsidR="0055792A" w:rsidRPr="00E12CEA">
        <w:rPr>
          <w:rFonts w:ascii="Times New Roman" w:hAnsi="Times New Roman" w:cs="Times New Roman"/>
          <w:sz w:val="24"/>
          <w:szCs w:val="24"/>
        </w:rPr>
        <w:t>IMFs</w:t>
      </w:r>
      <w:r w:rsidR="0055792A">
        <w:rPr>
          <w:rFonts w:ascii="Times New Roman" w:hAnsi="Times New Roman" w:cs="Times New Roman"/>
          <w:sz w:val="24"/>
          <w:szCs w:val="24"/>
        </w:rPr>
        <w:t xml:space="preserve">’ </w:t>
      </w:r>
      <w:r w:rsidR="0055792A" w:rsidRPr="00E12CEA">
        <w:rPr>
          <w:rFonts w:ascii="Times New Roman" w:hAnsi="Times New Roman" w:cs="Times New Roman"/>
          <w:sz w:val="24"/>
          <w:szCs w:val="24"/>
        </w:rPr>
        <w:t>response</w:t>
      </w:r>
      <w:r w:rsidR="00D370CF" w:rsidRPr="00E12CEA">
        <w:rPr>
          <w:rFonts w:ascii="Times New Roman" w:hAnsi="Times New Roman" w:cs="Times New Roman"/>
          <w:sz w:val="24"/>
          <w:szCs w:val="24"/>
        </w:rPr>
        <w:t xml:space="preserve"> both during the immediate crisis and more recently </w:t>
      </w:r>
      <w:r w:rsidR="00D370CF" w:rsidRPr="00E12CEA">
        <w:rPr>
          <w:rFonts w:ascii="Times New Roman" w:hAnsi="Times New Roman" w:cs="Times New Roman"/>
          <w:sz w:val="24"/>
          <w:szCs w:val="24"/>
        </w:rPr>
        <w:lastRenderedPageBreak/>
        <w:t>have proved challenging, particularly for the poorest, smallest and most vulnerable countries. Firstly,</w:t>
      </w:r>
      <w:r w:rsidR="005D5F50" w:rsidRPr="00E12CEA">
        <w:rPr>
          <w:rFonts w:ascii="Times New Roman" w:hAnsi="Times New Roman" w:cs="Times New Roman"/>
          <w:sz w:val="24"/>
          <w:szCs w:val="24"/>
        </w:rPr>
        <w:t xml:space="preserve"> </w:t>
      </w:r>
      <w:r w:rsidR="005D5F50" w:rsidRPr="005F6851">
        <w:rPr>
          <w:rFonts w:ascii="Times New Roman" w:hAnsi="Times New Roman" w:cs="Times New Roman"/>
          <w:b/>
          <w:sz w:val="24"/>
          <w:szCs w:val="24"/>
        </w:rPr>
        <w:t xml:space="preserve">the increases were far smaller than for </w:t>
      </w:r>
      <w:r w:rsidR="00066263">
        <w:rPr>
          <w:rFonts w:ascii="Times New Roman" w:hAnsi="Times New Roman" w:cs="Times New Roman"/>
          <w:b/>
          <w:sz w:val="24"/>
          <w:szCs w:val="24"/>
        </w:rPr>
        <w:t>MICs</w:t>
      </w:r>
      <w:r w:rsidR="0093054B">
        <w:rPr>
          <w:rFonts w:ascii="Times New Roman" w:hAnsi="Times New Roman" w:cs="Times New Roman"/>
          <w:b/>
          <w:sz w:val="24"/>
          <w:szCs w:val="24"/>
        </w:rPr>
        <w:t>,</w:t>
      </w:r>
      <w:r w:rsidR="005D5F50" w:rsidRPr="00E12CEA">
        <w:rPr>
          <w:rFonts w:ascii="Times New Roman" w:hAnsi="Times New Roman" w:cs="Times New Roman"/>
          <w:sz w:val="24"/>
          <w:szCs w:val="24"/>
        </w:rPr>
        <w:t xml:space="preserve"> and more importantly </w:t>
      </w:r>
      <w:r w:rsidR="00D370CF" w:rsidRPr="00E12CEA">
        <w:rPr>
          <w:rFonts w:ascii="Times New Roman" w:hAnsi="Times New Roman" w:cs="Times New Roman"/>
          <w:sz w:val="24"/>
          <w:szCs w:val="24"/>
        </w:rPr>
        <w:t xml:space="preserve">these facilities </w:t>
      </w:r>
      <w:r w:rsidR="005D5F50" w:rsidRPr="00E12CEA">
        <w:rPr>
          <w:rFonts w:ascii="Times New Roman" w:hAnsi="Times New Roman" w:cs="Times New Roman"/>
          <w:sz w:val="24"/>
          <w:szCs w:val="24"/>
        </w:rPr>
        <w:t xml:space="preserve">did not sufficiently compensate for the large scale of the external shocks. </w:t>
      </w:r>
      <w:r w:rsidR="00D370CF" w:rsidRPr="00E12CEA">
        <w:rPr>
          <w:rFonts w:ascii="Times New Roman" w:hAnsi="Times New Roman" w:cs="Times New Roman"/>
          <w:sz w:val="24"/>
          <w:szCs w:val="24"/>
        </w:rPr>
        <w:t>Secondly,</w:t>
      </w:r>
      <w:r w:rsidR="00616C85"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 xml:space="preserve">some aspects of the </w:t>
      </w:r>
      <w:r w:rsidR="00D370CF" w:rsidRPr="00E12CEA">
        <w:rPr>
          <w:rFonts w:ascii="Times New Roman" w:hAnsi="Times New Roman" w:cs="Times New Roman"/>
          <w:sz w:val="24"/>
          <w:szCs w:val="24"/>
        </w:rPr>
        <w:t xml:space="preserve">more </w:t>
      </w:r>
      <w:r w:rsidR="005D5F50" w:rsidRPr="00E12CEA">
        <w:rPr>
          <w:rFonts w:ascii="Times New Roman" w:hAnsi="Times New Roman" w:cs="Times New Roman"/>
          <w:sz w:val="24"/>
          <w:szCs w:val="24"/>
        </w:rPr>
        <w:t xml:space="preserve">recent changes in IMF compensatory financing </w:t>
      </w:r>
      <w:r w:rsidR="00A12185" w:rsidRPr="00E12CEA">
        <w:rPr>
          <w:rFonts w:ascii="Times New Roman" w:hAnsi="Times New Roman" w:cs="Times New Roman"/>
          <w:sz w:val="24"/>
          <w:szCs w:val="24"/>
        </w:rPr>
        <w:t xml:space="preserve">facilities </w:t>
      </w:r>
      <w:r w:rsidR="00D370CF" w:rsidRPr="00E12CEA">
        <w:rPr>
          <w:rFonts w:ascii="Times New Roman" w:hAnsi="Times New Roman" w:cs="Times New Roman"/>
          <w:sz w:val="24"/>
          <w:szCs w:val="24"/>
        </w:rPr>
        <w:t xml:space="preserve">have proved </w:t>
      </w:r>
      <w:r w:rsidR="005D5F50" w:rsidRPr="00E12CEA">
        <w:rPr>
          <w:rFonts w:ascii="Times New Roman" w:hAnsi="Times New Roman" w:cs="Times New Roman"/>
          <w:sz w:val="24"/>
          <w:szCs w:val="24"/>
        </w:rPr>
        <w:t xml:space="preserve">disappointing, and seem, in several aspects, even to imply steps backwards. </w:t>
      </w:r>
      <w:r w:rsidR="00616C85" w:rsidRPr="00E12CEA">
        <w:rPr>
          <w:rFonts w:ascii="Times New Roman" w:hAnsi="Times New Roman" w:cs="Times New Roman"/>
          <w:sz w:val="24"/>
          <w:szCs w:val="24"/>
        </w:rPr>
        <w:t xml:space="preserve">Thirdly, beyond 2014, there are insufficient resources for financing the subsidies to sustain desirable levels of IMF lending. </w:t>
      </w:r>
      <w:r w:rsidR="005D5F50" w:rsidRPr="00E12CEA">
        <w:rPr>
          <w:rFonts w:ascii="Times New Roman" w:hAnsi="Times New Roman" w:cs="Times New Roman"/>
          <w:sz w:val="24"/>
          <w:szCs w:val="24"/>
        </w:rPr>
        <w:t xml:space="preserve"> Therefore several improvements are needed to the facilities, which we discuss below. </w:t>
      </w:r>
    </w:p>
    <w:p w:rsidR="00707A11" w:rsidRPr="00E12CEA" w:rsidRDefault="00707A11" w:rsidP="006005F5">
      <w:pPr>
        <w:tabs>
          <w:tab w:val="left" w:pos="567"/>
        </w:tabs>
        <w:spacing w:after="0" w:line="240" w:lineRule="auto"/>
        <w:ind w:right="-45"/>
        <w:jc w:val="both"/>
        <w:rPr>
          <w:rFonts w:ascii="Times New Roman" w:hAnsi="Times New Roman" w:cs="Times New Roman"/>
          <w:sz w:val="24"/>
          <w:szCs w:val="24"/>
        </w:rPr>
      </w:pPr>
    </w:p>
    <w:p w:rsidR="00707A11" w:rsidRPr="00E12CEA" w:rsidRDefault="006F226E" w:rsidP="006005F5">
      <w:pPr>
        <w:tabs>
          <w:tab w:val="left" w:pos="567"/>
        </w:tabs>
        <w:autoSpaceDE w:val="0"/>
        <w:autoSpaceDN w:val="0"/>
        <w:adjustRightInd w:val="0"/>
        <w:spacing w:after="0" w:line="240" w:lineRule="auto"/>
        <w:ind w:right="-45"/>
        <w:jc w:val="both"/>
        <w:rPr>
          <w:rFonts w:ascii="Times New Roman" w:hAnsi="Times New Roman" w:cs="Times New Roman"/>
          <w:sz w:val="24"/>
          <w:szCs w:val="24"/>
        </w:rPr>
      </w:pPr>
      <w:r w:rsidRPr="00E12CEA">
        <w:rPr>
          <w:rFonts w:ascii="Times New Roman" w:hAnsi="Times New Roman" w:cs="Times New Roman"/>
          <w:bCs/>
          <w:sz w:val="24"/>
          <w:szCs w:val="24"/>
        </w:rPr>
        <w:t>1</w:t>
      </w:r>
      <w:r w:rsidR="00C35C6E">
        <w:rPr>
          <w:rFonts w:ascii="Times New Roman" w:hAnsi="Times New Roman" w:cs="Times New Roman"/>
          <w:bCs/>
          <w:sz w:val="24"/>
          <w:szCs w:val="24"/>
        </w:rPr>
        <w:t>9</w:t>
      </w:r>
      <w:r w:rsidRPr="00E12CEA">
        <w:rPr>
          <w:rFonts w:ascii="Times New Roman" w:hAnsi="Times New Roman" w:cs="Times New Roman"/>
          <w:bCs/>
          <w:sz w:val="24"/>
          <w:szCs w:val="24"/>
        </w:rPr>
        <w:t>.</w:t>
      </w:r>
      <w:r w:rsidRPr="00E12CEA">
        <w:rPr>
          <w:rFonts w:ascii="Times New Roman" w:hAnsi="Times New Roman" w:cs="Times New Roman"/>
          <w:bCs/>
          <w:sz w:val="24"/>
          <w:szCs w:val="24"/>
        </w:rPr>
        <w:tab/>
      </w:r>
      <w:r w:rsidR="005D5F50" w:rsidRPr="005F6851">
        <w:rPr>
          <w:rFonts w:ascii="Times New Roman" w:hAnsi="Times New Roman" w:cs="Times New Roman"/>
          <w:b/>
          <w:bCs/>
          <w:sz w:val="24"/>
          <w:szCs w:val="24"/>
        </w:rPr>
        <w:t>Since 2005, reforms to IMF concessional financing facilities have put increased emphasis on shocks support</w:t>
      </w:r>
      <w:r w:rsidR="009B41E5" w:rsidRPr="005F6851">
        <w:rPr>
          <w:rFonts w:ascii="Times New Roman" w:hAnsi="Times New Roman" w:cs="Times New Roman"/>
          <w:b/>
          <w:bCs/>
          <w:sz w:val="24"/>
          <w:szCs w:val="24"/>
        </w:rPr>
        <w:t>.</w:t>
      </w:r>
      <w:r w:rsidR="009B41E5" w:rsidRPr="00E12CEA">
        <w:rPr>
          <w:rFonts w:ascii="Times New Roman" w:hAnsi="Times New Roman" w:cs="Times New Roman"/>
          <w:bCs/>
          <w:sz w:val="24"/>
          <w:szCs w:val="24"/>
        </w:rPr>
        <w:t xml:space="preserve"> S</w:t>
      </w:r>
      <w:r w:rsidR="005D5F50" w:rsidRPr="00E12CEA">
        <w:rPr>
          <w:rFonts w:ascii="Times New Roman" w:hAnsi="Times New Roman" w:cs="Times New Roman"/>
          <w:sz w:val="24"/>
          <w:szCs w:val="24"/>
        </w:rPr>
        <w:t>uch a change of emphasis, which has resulted in a greater proportion of IMF lending to LICs</w:t>
      </w:r>
      <w:r w:rsidR="00384841" w:rsidRPr="00E12CEA">
        <w:rPr>
          <w:rFonts w:ascii="Times New Roman" w:hAnsi="Times New Roman" w:cs="Times New Roman"/>
          <w:sz w:val="24"/>
          <w:szCs w:val="24"/>
        </w:rPr>
        <w:t xml:space="preserve"> going to shocks support in </w:t>
      </w:r>
      <w:r w:rsidR="00C560FF" w:rsidRPr="00E12CEA">
        <w:rPr>
          <w:rFonts w:ascii="Times New Roman" w:hAnsi="Times New Roman" w:cs="Times New Roman"/>
          <w:sz w:val="24"/>
          <w:szCs w:val="24"/>
        </w:rPr>
        <w:t>2008-2012,</w:t>
      </w:r>
      <w:r w:rsidR="009D40D9">
        <w:rPr>
          <w:rFonts w:ascii="Times New Roman" w:hAnsi="Times New Roman" w:cs="Times New Roman"/>
          <w:sz w:val="24"/>
          <w:szCs w:val="24"/>
        </w:rPr>
        <w:t xml:space="preserve"> </w:t>
      </w:r>
      <w:r w:rsidR="00C93CC5" w:rsidRPr="00E12CEA">
        <w:rPr>
          <w:rFonts w:ascii="Times New Roman" w:hAnsi="Times New Roman" w:cs="Times New Roman"/>
          <w:sz w:val="24"/>
          <w:szCs w:val="24"/>
        </w:rPr>
        <w:t>is to be wel</w:t>
      </w:r>
      <w:r w:rsidR="00F97755" w:rsidRPr="00E12CEA">
        <w:rPr>
          <w:rFonts w:ascii="Times New Roman" w:hAnsi="Times New Roman" w:cs="Times New Roman"/>
          <w:sz w:val="24"/>
          <w:szCs w:val="24"/>
        </w:rPr>
        <w:t>comed</w:t>
      </w:r>
      <w:r w:rsidR="00387D8F" w:rsidRPr="00E12CEA">
        <w:rPr>
          <w:rFonts w:ascii="Times New Roman" w:hAnsi="Times New Roman" w:cs="Times New Roman"/>
          <w:sz w:val="24"/>
          <w:szCs w:val="24"/>
        </w:rPr>
        <w:t>, though</w:t>
      </w:r>
      <w:r w:rsidR="00DF710E" w:rsidRPr="00E12CEA">
        <w:rPr>
          <w:rFonts w:ascii="Times New Roman" w:hAnsi="Times New Roman" w:cs="Times New Roman"/>
          <w:sz w:val="24"/>
          <w:szCs w:val="24"/>
        </w:rPr>
        <w:t xml:space="preserve"> it </w:t>
      </w:r>
      <w:r w:rsidR="00C560FF" w:rsidRPr="00E12CEA">
        <w:rPr>
          <w:rFonts w:ascii="Times New Roman" w:hAnsi="Times New Roman" w:cs="Times New Roman"/>
          <w:sz w:val="24"/>
          <w:szCs w:val="24"/>
        </w:rPr>
        <w:t>is still</w:t>
      </w:r>
      <w:r w:rsidR="00387D8F" w:rsidRPr="00E12CEA">
        <w:rPr>
          <w:rFonts w:ascii="Times New Roman" w:hAnsi="Times New Roman" w:cs="Times New Roman"/>
          <w:sz w:val="24"/>
          <w:szCs w:val="24"/>
        </w:rPr>
        <w:t xml:space="preserve"> insufficient in proportion to magnitude of shocks during the period</w:t>
      </w:r>
      <w:r w:rsidR="00913E60" w:rsidRPr="00E12CEA">
        <w:rPr>
          <w:rFonts w:ascii="Times New Roman" w:hAnsi="Times New Roman" w:cs="Times New Roman"/>
          <w:sz w:val="24"/>
          <w:szCs w:val="24"/>
        </w:rPr>
        <w:t>.</w:t>
      </w:r>
      <w:bookmarkStart w:id="2" w:name="_GoBack"/>
      <w:bookmarkEnd w:id="2"/>
      <w:r w:rsidR="00F97755"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 xml:space="preserve">This followed two decades in which the Fund’s financial support to LICs was </w:t>
      </w:r>
      <w:r w:rsidR="00913E60" w:rsidRPr="00E12CEA">
        <w:rPr>
          <w:rFonts w:ascii="Times New Roman" w:hAnsi="Times New Roman" w:cs="Times New Roman"/>
          <w:sz w:val="24"/>
          <w:szCs w:val="24"/>
        </w:rPr>
        <w:t>channelled</w:t>
      </w:r>
      <w:r w:rsidR="005D5F50" w:rsidRPr="00E12CEA">
        <w:rPr>
          <w:rFonts w:ascii="Times New Roman" w:hAnsi="Times New Roman" w:cs="Times New Roman"/>
          <w:sz w:val="24"/>
          <w:szCs w:val="24"/>
        </w:rPr>
        <w:t xml:space="preserve"> mainly through three-year financial arrangements, and shocks were addressed by augmenting financing only under these arrangements. This </w:t>
      </w:r>
      <w:r w:rsidR="00A12185" w:rsidRPr="00E12CEA">
        <w:rPr>
          <w:rFonts w:ascii="Times New Roman" w:hAnsi="Times New Roman" w:cs="Times New Roman"/>
          <w:sz w:val="24"/>
          <w:szCs w:val="24"/>
        </w:rPr>
        <w:t xml:space="preserve">greater emphasis for LICs </w:t>
      </w:r>
      <w:r w:rsidR="005D5F50" w:rsidRPr="00E12CEA">
        <w:rPr>
          <w:rFonts w:ascii="Times New Roman" w:hAnsi="Times New Roman" w:cs="Times New Roman"/>
          <w:sz w:val="24"/>
          <w:szCs w:val="24"/>
        </w:rPr>
        <w:t>is in contrast to the t</w:t>
      </w:r>
      <w:r w:rsidR="00A12185" w:rsidRPr="00E12CEA">
        <w:rPr>
          <w:rFonts w:ascii="Times New Roman" w:hAnsi="Times New Roman" w:cs="Times New Roman"/>
          <w:sz w:val="24"/>
          <w:szCs w:val="24"/>
        </w:rPr>
        <w:t>rend for MICs</w:t>
      </w:r>
      <w:r w:rsidR="005D5F50" w:rsidRPr="00E12CEA">
        <w:rPr>
          <w:rFonts w:ascii="Times New Roman" w:hAnsi="Times New Roman" w:cs="Times New Roman"/>
          <w:sz w:val="24"/>
          <w:szCs w:val="24"/>
        </w:rPr>
        <w:t>, which</w:t>
      </w:r>
      <w:r w:rsidR="00003BE2" w:rsidRPr="00E12CEA">
        <w:rPr>
          <w:rFonts w:ascii="Times New Roman" w:hAnsi="Times New Roman" w:cs="Times New Roman"/>
          <w:sz w:val="24"/>
          <w:szCs w:val="24"/>
        </w:rPr>
        <w:t>, especially for trade shocks</w:t>
      </w:r>
      <w:r w:rsidR="005D5F50" w:rsidRPr="00E12CEA">
        <w:rPr>
          <w:rFonts w:ascii="Times New Roman" w:hAnsi="Times New Roman" w:cs="Times New Roman"/>
          <w:sz w:val="24"/>
          <w:szCs w:val="24"/>
        </w:rPr>
        <w:t xml:space="preserve"> –as we discuss below</w:t>
      </w:r>
      <w:r w:rsidR="009D40D9">
        <w:rPr>
          <w:rFonts w:ascii="Times New Roman" w:hAnsi="Times New Roman" w:cs="Times New Roman"/>
          <w:sz w:val="24"/>
          <w:szCs w:val="24"/>
        </w:rPr>
        <w:t xml:space="preserve"> - </w:t>
      </w:r>
      <w:r w:rsidR="005D5F50" w:rsidRPr="00E12CEA">
        <w:rPr>
          <w:rFonts w:ascii="Times New Roman" w:hAnsi="Times New Roman" w:cs="Times New Roman"/>
          <w:sz w:val="24"/>
          <w:szCs w:val="24"/>
        </w:rPr>
        <w:t xml:space="preserve">has broadly been going in the opposite direction, reducing </w:t>
      </w:r>
      <w:r w:rsidR="009D40D9">
        <w:rPr>
          <w:rFonts w:ascii="Times New Roman" w:hAnsi="Times New Roman" w:cs="Times New Roman"/>
          <w:sz w:val="24"/>
          <w:szCs w:val="24"/>
        </w:rPr>
        <w:t xml:space="preserve">for these countries, </w:t>
      </w:r>
      <w:r w:rsidR="005D5F50" w:rsidRPr="00E12CEA">
        <w:rPr>
          <w:rFonts w:ascii="Times New Roman" w:hAnsi="Times New Roman" w:cs="Times New Roman"/>
          <w:sz w:val="24"/>
          <w:szCs w:val="24"/>
        </w:rPr>
        <w:t>the importance of IMF compensatory financing for shocks.</w:t>
      </w:r>
    </w:p>
    <w:p w:rsidR="005D5F50" w:rsidRPr="00E12CEA" w:rsidRDefault="005D5F50" w:rsidP="006005F5">
      <w:pPr>
        <w:tabs>
          <w:tab w:val="left" w:pos="567"/>
        </w:tabs>
        <w:autoSpaceDE w:val="0"/>
        <w:autoSpaceDN w:val="0"/>
        <w:adjustRightInd w:val="0"/>
        <w:spacing w:after="0" w:line="240" w:lineRule="auto"/>
        <w:ind w:right="-45"/>
        <w:jc w:val="both"/>
        <w:rPr>
          <w:rFonts w:ascii="Times New Roman" w:hAnsi="Times New Roman" w:cs="Times New Roman"/>
          <w:sz w:val="24"/>
          <w:szCs w:val="24"/>
        </w:rPr>
      </w:pPr>
    </w:p>
    <w:p w:rsidR="005D5F50" w:rsidRDefault="00C35C6E" w:rsidP="006005F5">
      <w:pPr>
        <w:tabs>
          <w:tab w:val="left" w:pos="567"/>
        </w:tabs>
        <w:autoSpaceDE w:val="0"/>
        <w:autoSpaceDN w:val="0"/>
        <w:adjustRightInd w:val="0"/>
        <w:spacing w:after="0" w:line="240" w:lineRule="auto"/>
        <w:ind w:right="-45"/>
        <w:jc w:val="both"/>
        <w:rPr>
          <w:rFonts w:ascii="Times New Roman" w:hAnsi="Times New Roman" w:cs="Times New Roman"/>
          <w:b/>
          <w:sz w:val="24"/>
          <w:szCs w:val="24"/>
        </w:rPr>
      </w:pPr>
      <w:r>
        <w:rPr>
          <w:rFonts w:ascii="Times New Roman" w:hAnsi="Times New Roman" w:cs="Times New Roman"/>
          <w:sz w:val="24"/>
          <w:szCs w:val="24"/>
        </w:rPr>
        <w:t>20</w:t>
      </w:r>
      <w:r w:rsidR="006F226E" w:rsidRPr="00E12CEA">
        <w:rPr>
          <w:rFonts w:ascii="Times New Roman" w:hAnsi="Times New Roman" w:cs="Times New Roman"/>
          <w:sz w:val="24"/>
          <w:szCs w:val="24"/>
        </w:rPr>
        <w:t>.</w:t>
      </w:r>
      <w:r w:rsidR="006F226E" w:rsidRPr="00E12CEA">
        <w:rPr>
          <w:rFonts w:ascii="Times New Roman" w:hAnsi="Times New Roman" w:cs="Times New Roman"/>
          <w:sz w:val="24"/>
          <w:szCs w:val="24"/>
        </w:rPr>
        <w:tab/>
      </w:r>
      <w:r w:rsidR="00913E60" w:rsidRPr="00E12CEA">
        <w:rPr>
          <w:rFonts w:ascii="Times New Roman" w:hAnsi="Times New Roman" w:cs="Times New Roman"/>
          <w:sz w:val="24"/>
          <w:szCs w:val="24"/>
        </w:rPr>
        <w:t>The shift signals a recognition by the IMF</w:t>
      </w:r>
      <w:r w:rsidR="00EE18DE"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that the size, frequency, and economic cost of external shocks tends to be higher in LICs than</w:t>
      </w:r>
      <w:r w:rsidR="00A12185" w:rsidRPr="00E12CEA">
        <w:rPr>
          <w:rFonts w:ascii="Times New Roman" w:hAnsi="Times New Roman" w:cs="Times New Roman"/>
          <w:sz w:val="24"/>
          <w:szCs w:val="24"/>
        </w:rPr>
        <w:t xml:space="preserve"> in other</w:t>
      </w:r>
      <w:r w:rsidR="005D5F50" w:rsidRPr="00E12CEA">
        <w:rPr>
          <w:rFonts w:ascii="Times New Roman" w:hAnsi="Times New Roman" w:cs="Times New Roman"/>
          <w:sz w:val="24"/>
          <w:szCs w:val="24"/>
        </w:rPr>
        <w:t xml:space="preserve"> economies, increasing risk and uncertainty for private agents and governments</w:t>
      </w:r>
      <w:r w:rsidR="00672AEB" w:rsidRPr="00E12CEA">
        <w:rPr>
          <w:rFonts w:ascii="Times New Roman" w:hAnsi="Times New Roman" w:cs="Times New Roman"/>
          <w:sz w:val="24"/>
          <w:szCs w:val="24"/>
        </w:rPr>
        <w:t>,</w:t>
      </w:r>
      <w:r w:rsidR="005D5F50" w:rsidRPr="00E12CEA">
        <w:rPr>
          <w:rFonts w:ascii="Times New Roman" w:hAnsi="Times New Roman" w:cs="Times New Roman"/>
          <w:sz w:val="24"/>
          <w:szCs w:val="24"/>
        </w:rPr>
        <w:t xml:space="preserve"> </w:t>
      </w:r>
      <w:r w:rsidR="00A12185" w:rsidRPr="00E12CEA">
        <w:rPr>
          <w:rFonts w:ascii="Times New Roman" w:hAnsi="Times New Roman" w:cs="Times New Roman"/>
          <w:sz w:val="24"/>
          <w:szCs w:val="24"/>
        </w:rPr>
        <w:t>and that shocks</w:t>
      </w:r>
      <w:r w:rsidR="005D5F50" w:rsidRPr="00E12CEA">
        <w:rPr>
          <w:rFonts w:ascii="Times New Roman" w:hAnsi="Times New Roman" w:cs="Times New Roman"/>
          <w:sz w:val="24"/>
          <w:szCs w:val="24"/>
        </w:rPr>
        <w:t xml:space="preserve"> can set bac</w:t>
      </w:r>
      <w:r w:rsidR="00A12185" w:rsidRPr="00E12CEA">
        <w:rPr>
          <w:rFonts w:ascii="Times New Roman" w:hAnsi="Times New Roman" w:cs="Times New Roman"/>
          <w:sz w:val="24"/>
          <w:szCs w:val="24"/>
        </w:rPr>
        <w:t xml:space="preserve">k gains in </w:t>
      </w:r>
      <w:r w:rsidR="00672AEB" w:rsidRPr="00E12CEA">
        <w:rPr>
          <w:rFonts w:ascii="Times New Roman" w:hAnsi="Times New Roman" w:cs="Times New Roman"/>
          <w:sz w:val="24"/>
          <w:szCs w:val="24"/>
        </w:rPr>
        <w:t xml:space="preserve"> increasing growth </w:t>
      </w:r>
      <w:r w:rsidR="00DF710E" w:rsidRPr="00E12CEA">
        <w:rPr>
          <w:rFonts w:ascii="Times New Roman" w:hAnsi="Times New Roman" w:cs="Times New Roman"/>
          <w:sz w:val="24"/>
          <w:szCs w:val="24"/>
        </w:rPr>
        <w:t xml:space="preserve"> and </w:t>
      </w:r>
      <w:r w:rsidR="00A12185" w:rsidRPr="00E12CEA">
        <w:rPr>
          <w:rFonts w:ascii="Times New Roman" w:hAnsi="Times New Roman" w:cs="Times New Roman"/>
          <w:sz w:val="24"/>
          <w:szCs w:val="24"/>
        </w:rPr>
        <w:t xml:space="preserve">reducing poverty. </w:t>
      </w:r>
      <w:r w:rsidR="005D5F50" w:rsidRPr="00E12CEA">
        <w:rPr>
          <w:rFonts w:ascii="Times New Roman" w:hAnsi="Times New Roman" w:cs="Times New Roman"/>
          <w:sz w:val="24"/>
          <w:szCs w:val="24"/>
        </w:rPr>
        <w:t>Given their heavy reliance on commodity exports, LICs, particularly in Sub-Saharan Africa (SSA),</w:t>
      </w:r>
      <w:r w:rsidR="00A12185"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experience median t</w:t>
      </w:r>
      <w:r w:rsidR="00A12185" w:rsidRPr="00E12CEA">
        <w:rPr>
          <w:rFonts w:ascii="Times New Roman" w:hAnsi="Times New Roman" w:cs="Times New Roman"/>
          <w:sz w:val="24"/>
          <w:szCs w:val="24"/>
        </w:rPr>
        <w:t>erms of trade volatility</w:t>
      </w:r>
      <w:r w:rsidR="005D5F50" w:rsidRPr="00E12CEA">
        <w:rPr>
          <w:rFonts w:ascii="Times New Roman" w:hAnsi="Times New Roman" w:cs="Times New Roman"/>
          <w:sz w:val="24"/>
          <w:szCs w:val="24"/>
        </w:rPr>
        <w:t xml:space="preserve"> nearly twice as high as in the rest of the world.</w:t>
      </w:r>
      <w:r w:rsidR="00672AEB" w:rsidRPr="00E12CEA">
        <w:rPr>
          <w:rFonts w:ascii="Times New Roman" w:hAnsi="Times New Roman" w:cs="Times New Roman"/>
          <w:sz w:val="24"/>
          <w:szCs w:val="24"/>
        </w:rPr>
        <w:t xml:space="preserve"> </w:t>
      </w:r>
      <w:r w:rsidR="00AA7FC2" w:rsidRPr="00E12CEA">
        <w:rPr>
          <w:rFonts w:ascii="Times New Roman" w:hAnsi="Times New Roman" w:cs="Times New Roman"/>
          <w:sz w:val="24"/>
          <w:szCs w:val="24"/>
        </w:rPr>
        <w:t>(IMF,</w:t>
      </w:r>
      <w:r w:rsidR="009D40D9">
        <w:rPr>
          <w:rFonts w:ascii="Times New Roman" w:hAnsi="Times New Roman" w:cs="Times New Roman"/>
          <w:sz w:val="24"/>
          <w:szCs w:val="24"/>
        </w:rPr>
        <w:t xml:space="preserve"> </w:t>
      </w:r>
      <w:r w:rsidR="005D5F50" w:rsidRPr="00E12CEA">
        <w:rPr>
          <w:rFonts w:ascii="Times New Roman" w:hAnsi="Times New Roman" w:cs="Times New Roman"/>
          <w:sz w:val="24"/>
          <w:szCs w:val="24"/>
        </w:rPr>
        <w:t xml:space="preserve">2011). </w:t>
      </w:r>
      <w:r w:rsidR="00913E60" w:rsidRPr="00E12CEA">
        <w:rPr>
          <w:rFonts w:ascii="Times New Roman" w:hAnsi="Times New Roman" w:cs="Times New Roman"/>
          <w:sz w:val="24"/>
          <w:szCs w:val="24"/>
        </w:rPr>
        <w:t xml:space="preserve">The new approach also </w:t>
      </w:r>
      <w:r w:rsidR="006E2189" w:rsidRPr="00E12CEA">
        <w:rPr>
          <w:rFonts w:ascii="Times New Roman" w:hAnsi="Times New Roman" w:cs="Times New Roman"/>
          <w:sz w:val="24"/>
          <w:szCs w:val="24"/>
        </w:rPr>
        <w:t>recogni</w:t>
      </w:r>
      <w:r w:rsidR="002C0E39">
        <w:rPr>
          <w:rFonts w:ascii="Times New Roman" w:hAnsi="Times New Roman" w:cs="Times New Roman"/>
          <w:sz w:val="24"/>
          <w:szCs w:val="24"/>
        </w:rPr>
        <w:t>s</w:t>
      </w:r>
      <w:r w:rsidR="006E2189" w:rsidRPr="00E12CEA">
        <w:rPr>
          <w:rFonts w:ascii="Times New Roman" w:hAnsi="Times New Roman" w:cs="Times New Roman"/>
          <w:sz w:val="24"/>
          <w:szCs w:val="24"/>
        </w:rPr>
        <w:t xml:space="preserve">es </w:t>
      </w:r>
      <w:r w:rsidR="005D5F50" w:rsidRPr="00E12CEA">
        <w:rPr>
          <w:rFonts w:ascii="Times New Roman" w:hAnsi="Times New Roman" w:cs="Times New Roman"/>
          <w:sz w:val="24"/>
          <w:szCs w:val="24"/>
        </w:rPr>
        <w:t>that with improved macroeconomic policies and institutions and growing global integration, the importance of external shocks in driving output volatility has increased, compared to that of idiosyncratic domestic shocks (Raddatz, 200</w:t>
      </w:r>
      <w:r w:rsidR="00672AEB" w:rsidRPr="00E12CEA">
        <w:rPr>
          <w:rFonts w:ascii="Times New Roman" w:hAnsi="Times New Roman" w:cs="Times New Roman"/>
          <w:sz w:val="24"/>
          <w:szCs w:val="24"/>
        </w:rPr>
        <w:t>8).</w:t>
      </w:r>
      <w:r w:rsidR="002A1073" w:rsidRPr="00E12CEA">
        <w:rPr>
          <w:rFonts w:ascii="Times New Roman" w:hAnsi="Times New Roman" w:cs="Times New Roman"/>
          <w:sz w:val="24"/>
          <w:szCs w:val="24"/>
        </w:rPr>
        <w:t xml:space="preserve"> </w:t>
      </w:r>
      <w:r w:rsidR="006E2189" w:rsidRPr="00E12CEA">
        <w:rPr>
          <w:rFonts w:ascii="Times New Roman" w:hAnsi="Times New Roman" w:cs="Times New Roman"/>
          <w:sz w:val="24"/>
          <w:szCs w:val="24"/>
        </w:rPr>
        <w:t>As we discuss below, the</w:t>
      </w:r>
      <w:r w:rsidR="005D5F50" w:rsidRPr="00E12CEA">
        <w:rPr>
          <w:rFonts w:ascii="Times New Roman" w:hAnsi="Times New Roman" w:cs="Times New Roman"/>
          <w:sz w:val="24"/>
          <w:szCs w:val="24"/>
        </w:rPr>
        <w:t xml:space="preserve"> impli</w:t>
      </w:r>
      <w:r w:rsidR="00384841" w:rsidRPr="00E12CEA">
        <w:rPr>
          <w:rFonts w:ascii="Times New Roman" w:hAnsi="Times New Roman" w:cs="Times New Roman"/>
          <w:sz w:val="24"/>
          <w:szCs w:val="24"/>
        </w:rPr>
        <w:t xml:space="preserve">cation of this </w:t>
      </w:r>
      <w:r w:rsidR="00913E60" w:rsidRPr="00E12CEA">
        <w:rPr>
          <w:rFonts w:ascii="Times New Roman" w:hAnsi="Times New Roman" w:cs="Times New Roman"/>
          <w:sz w:val="24"/>
          <w:szCs w:val="24"/>
        </w:rPr>
        <w:t xml:space="preserve">has hitherto not been </w:t>
      </w:r>
      <w:r w:rsidR="005D5F50" w:rsidRPr="00E12CEA">
        <w:rPr>
          <w:rFonts w:ascii="Times New Roman" w:hAnsi="Times New Roman" w:cs="Times New Roman"/>
          <w:sz w:val="24"/>
          <w:szCs w:val="24"/>
        </w:rPr>
        <w:t xml:space="preserve">fully reflected in </w:t>
      </w:r>
      <w:r w:rsidR="00913E60" w:rsidRPr="00E12CEA">
        <w:rPr>
          <w:rFonts w:ascii="Times New Roman" w:hAnsi="Times New Roman" w:cs="Times New Roman"/>
          <w:sz w:val="24"/>
          <w:szCs w:val="24"/>
        </w:rPr>
        <w:t xml:space="preserve">IMF shock </w:t>
      </w:r>
      <w:r w:rsidR="00003BE2" w:rsidRPr="00E12CEA">
        <w:rPr>
          <w:rFonts w:ascii="Times New Roman" w:hAnsi="Times New Roman" w:cs="Times New Roman"/>
          <w:sz w:val="24"/>
          <w:szCs w:val="24"/>
        </w:rPr>
        <w:t>facilities</w:t>
      </w:r>
      <w:r w:rsidR="00913E60" w:rsidRPr="00E12CEA">
        <w:rPr>
          <w:rFonts w:ascii="Times New Roman" w:hAnsi="Times New Roman" w:cs="Times New Roman"/>
          <w:sz w:val="24"/>
          <w:szCs w:val="24"/>
        </w:rPr>
        <w:t xml:space="preserve">. </w:t>
      </w:r>
      <w:r w:rsidR="00913E60" w:rsidRPr="00E12CEA">
        <w:rPr>
          <w:rFonts w:ascii="Times New Roman" w:hAnsi="Times New Roman" w:cs="Times New Roman"/>
          <w:b/>
          <w:sz w:val="24"/>
          <w:szCs w:val="24"/>
        </w:rPr>
        <w:t>The IMF will shortly pu</w:t>
      </w:r>
      <w:r w:rsidR="002A1674" w:rsidRPr="00E12CEA">
        <w:rPr>
          <w:rFonts w:ascii="Times New Roman" w:hAnsi="Times New Roman" w:cs="Times New Roman"/>
          <w:b/>
          <w:sz w:val="24"/>
          <w:szCs w:val="24"/>
        </w:rPr>
        <w:t>t</w:t>
      </w:r>
      <w:r w:rsidR="00913E60" w:rsidRPr="00E12CEA">
        <w:rPr>
          <w:rFonts w:ascii="Times New Roman" w:hAnsi="Times New Roman" w:cs="Times New Roman"/>
          <w:b/>
          <w:sz w:val="24"/>
          <w:szCs w:val="24"/>
        </w:rPr>
        <w:t xml:space="preserve"> forward a </w:t>
      </w:r>
      <w:r w:rsidR="005D5F50" w:rsidRPr="00E12CEA">
        <w:rPr>
          <w:rFonts w:ascii="Times New Roman" w:hAnsi="Times New Roman" w:cs="Times New Roman"/>
          <w:b/>
          <w:sz w:val="24"/>
          <w:szCs w:val="24"/>
        </w:rPr>
        <w:t xml:space="preserve">review of </w:t>
      </w:r>
      <w:r w:rsidR="00913E60" w:rsidRPr="00E12CEA">
        <w:rPr>
          <w:rFonts w:ascii="Times New Roman" w:hAnsi="Times New Roman" w:cs="Times New Roman"/>
          <w:b/>
          <w:sz w:val="24"/>
          <w:szCs w:val="24"/>
        </w:rPr>
        <w:t xml:space="preserve">its </w:t>
      </w:r>
      <w:r w:rsidR="005D5F50" w:rsidRPr="00E12CEA">
        <w:rPr>
          <w:rFonts w:ascii="Times New Roman" w:hAnsi="Times New Roman" w:cs="Times New Roman"/>
          <w:b/>
          <w:sz w:val="24"/>
          <w:szCs w:val="24"/>
        </w:rPr>
        <w:t>lending facilities</w:t>
      </w:r>
      <w:r w:rsidR="002A1674" w:rsidRPr="00E12CEA">
        <w:rPr>
          <w:rFonts w:ascii="Times New Roman" w:hAnsi="Times New Roman" w:cs="Times New Roman"/>
          <w:b/>
          <w:sz w:val="24"/>
          <w:szCs w:val="24"/>
        </w:rPr>
        <w:t>. This presents an important opportunity for the Commonwealth to offer proposals which can address these challenges leading to significant improvements in these facilities.</w:t>
      </w:r>
    </w:p>
    <w:p w:rsidR="00707A11" w:rsidRPr="00E12CEA" w:rsidRDefault="00707A11" w:rsidP="006005F5">
      <w:pPr>
        <w:tabs>
          <w:tab w:val="left" w:pos="567"/>
        </w:tabs>
        <w:autoSpaceDE w:val="0"/>
        <w:autoSpaceDN w:val="0"/>
        <w:adjustRightInd w:val="0"/>
        <w:spacing w:after="0" w:line="240" w:lineRule="auto"/>
        <w:ind w:right="-45"/>
        <w:jc w:val="both"/>
        <w:rPr>
          <w:rFonts w:ascii="Times New Roman" w:hAnsi="Times New Roman" w:cs="Times New Roman"/>
          <w:b/>
          <w:sz w:val="24"/>
          <w:szCs w:val="24"/>
        </w:rPr>
      </w:pPr>
    </w:p>
    <w:p w:rsidR="005D5F50" w:rsidRDefault="006F226E" w:rsidP="006005F5">
      <w:pPr>
        <w:tabs>
          <w:tab w:val="left" w:pos="567"/>
        </w:tabs>
        <w:autoSpaceDE w:val="0"/>
        <w:autoSpaceDN w:val="0"/>
        <w:adjustRightInd w:val="0"/>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2</w:t>
      </w:r>
      <w:r w:rsidR="00C35C6E">
        <w:rPr>
          <w:rFonts w:ascii="Times New Roman" w:hAnsi="Times New Roman" w:cs="Times New Roman"/>
          <w:sz w:val="24"/>
          <w:szCs w:val="24"/>
        </w:rPr>
        <w:t>1</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5D5F50" w:rsidRPr="00E12CEA">
        <w:rPr>
          <w:rFonts w:ascii="Times New Roman" w:hAnsi="Times New Roman" w:cs="Times New Roman"/>
          <w:sz w:val="24"/>
          <w:szCs w:val="24"/>
        </w:rPr>
        <w:t>Recogni</w:t>
      </w:r>
      <w:r w:rsidR="00D912DF">
        <w:rPr>
          <w:rFonts w:ascii="Times New Roman" w:hAnsi="Times New Roman" w:cs="Times New Roman"/>
          <w:sz w:val="24"/>
          <w:szCs w:val="24"/>
        </w:rPr>
        <w:t>s</w:t>
      </w:r>
      <w:r w:rsidR="005D5F50" w:rsidRPr="00E12CEA">
        <w:rPr>
          <w:rFonts w:ascii="Times New Roman" w:hAnsi="Times New Roman" w:cs="Times New Roman"/>
          <w:sz w:val="24"/>
          <w:szCs w:val="24"/>
        </w:rPr>
        <w:t>ing</w:t>
      </w:r>
      <w:r w:rsidR="005D5F50" w:rsidRPr="00E12CEA">
        <w:rPr>
          <w:rFonts w:ascii="Times New Roman" w:hAnsi="Times New Roman" w:cs="Times New Roman"/>
          <w:bCs/>
          <w:sz w:val="24"/>
          <w:szCs w:val="24"/>
        </w:rPr>
        <w:t xml:space="preserve"> </w:t>
      </w:r>
      <w:r w:rsidR="005D5F50" w:rsidRPr="00E12CEA">
        <w:rPr>
          <w:rFonts w:ascii="Times New Roman" w:hAnsi="Times New Roman" w:cs="Times New Roman"/>
          <w:sz w:val="24"/>
          <w:szCs w:val="24"/>
        </w:rPr>
        <w:t>improved macroeconomic management in many countries and the growing importance of short term shock-related financing</w:t>
      </w:r>
      <w:r w:rsidR="00A12185" w:rsidRPr="00E12CEA">
        <w:rPr>
          <w:rFonts w:ascii="Times New Roman" w:hAnsi="Times New Roman" w:cs="Times New Roman"/>
          <w:sz w:val="24"/>
          <w:szCs w:val="24"/>
        </w:rPr>
        <w:t xml:space="preserve"> needs, reforms were </w:t>
      </w:r>
      <w:r w:rsidR="005D5F50" w:rsidRPr="00E12CEA">
        <w:rPr>
          <w:rFonts w:ascii="Times New Roman" w:hAnsi="Times New Roman" w:cs="Times New Roman"/>
          <w:sz w:val="24"/>
          <w:szCs w:val="24"/>
        </w:rPr>
        <w:t>undertaken t</w:t>
      </w:r>
      <w:r w:rsidR="00A12185" w:rsidRPr="00E12CEA">
        <w:rPr>
          <w:rFonts w:ascii="Times New Roman" w:hAnsi="Times New Roman" w:cs="Times New Roman"/>
          <w:sz w:val="24"/>
          <w:szCs w:val="24"/>
        </w:rPr>
        <w:t xml:space="preserve">hat </w:t>
      </w:r>
      <w:r w:rsidR="00C560FF" w:rsidRPr="00E12CEA">
        <w:rPr>
          <w:rFonts w:ascii="Times New Roman" w:hAnsi="Times New Roman" w:cs="Times New Roman"/>
          <w:sz w:val="24"/>
          <w:szCs w:val="24"/>
        </w:rPr>
        <w:t>created two</w:t>
      </w:r>
      <w:r w:rsidR="005D5F50" w:rsidRPr="00E12CEA">
        <w:rPr>
          <w:rFonts w:ascii="Times New Roman" w:hAnsi="Times New Roman" w:cs="Times New Roman"/>
          <w:sz w:val="24"/>
          <w:szCs w:val="24"/>
        </w:rPr>
        <w:t xml:space="preserve"> short-term financing instruments in January 2010</w:t>
      </w:r>
      <w:r w:rsidR="00B130C9">
        <w:rPr>
          <w:rFonts w:ascii="Times New Roman" w:hAnsi="Times New Roman" w:cs="Times New Roman"/>
          <w:sz w:val="24"/>
          <w:szCs w:val="24"/>
        </w:rPr>
        <w:t xml:space="preserve"> -</w:t>
      </w:r>
      <w:r w:rsidR="00F93037">
        <w:rPr>
          <w:rFonts w:ascii="Times New Roman" w:hAnsi="Times New Roman" w:cs="Times New Roman"/>
          <w:sz w:val="24"/>
          <w:szCs w:val="24"/>
        </w:rPr>
        <w:t xml:space="preserve"> </w:t>
      </w:r>
      <w:r w:rsidR="005D5F50" w:rsidRPr="00E12CEA">
        <w:rPr>
          <w:rFonts w:ascii="Times New Roman" w:hAnsi="Times New Roman" w:cs="Times New Roman"/>
          <w:sz w:val="24"/>
          <w:szCs w:val="24"/>
        </w:rPr>
        <w:t xml:space="preserve">the </w:t>
      </w:r>
      <w:r w:rsidR="005D5F50" w:rsidRPr="005F6851">
        <w:rPr>
          <w:rFonts w:ascii="Times New Roman" w:hAnsi="Times New Roman" w:cs="Times New Roman"/>
          <w:b/>
          <w:sz w:val="24"/>
          <w:szCs w:val="24"/>
        </w:rPr>
        <w:t>Rapid Credit Facility (RCF)</w:t>
      </w:r>
      <w:r w:rsidR="005D5F50" w:rsidRPr="00E12CEA">
        <w:rPr>
          <w:rFonts w:ascii="Times New Roman" w:hAnsi="Times New Roman" w:cs="Times New Roman"/>
          <w:sz w:val="24"/>
          <w:szCs w:val="24"/>
        </w:rPr>
        <w:t xml:space="preserve"> for emergency support, and the </w:t>
      </w:r>
      <w:r w:rsidR="005D5F50" w:rsidRPr="005F6851">
        <w:rPr>
          <w:rFonts w:ascii="Times New Roman" w:hAnsi="Times New Roman" w:cs="Times New Roman"/>
          <w:b/>
          <w:sz w:val="24"/>
          <w:szCs w:val="24"/>
        </w:rPr>
        <w:t>Standby Credit Facility (SCF)</w:t>
      </w:r>
      <w:r w:rsidR="005D5F50" w:rsidRPr="00E12CEA">
        <w:rPr>
          <w:rFonts w:ascii="Times New Roman" w:hAnsi="Times New Roman" w:cs="Times New Roman"/>
          <w:sz w:val="24"/>
          <w:szCs w:val="24"/>
        </w:rPr>
        <w:t xml:space="preserve"> for short-term support. These complement medium-term su</w:t>
      </w:r>
      <w:r w:rsidR="00A12185" w:rsidRPr="00E12CEA">
        <w:rPr>
          <w:rFonts w:ascii="Times New Roman" w:hAnsi="Times New Roman" w:cs="Times New Roman"/>
          <w:sz w:val="24"/>
          <w:szCs w:val="24"/>
        </w:rPr>
        <w:t xml:space="preserve">pport available under the new </w:t>
      </w:r>
      <w:r w:rsidR="005D5F50" w:rsidRPr="005F6851">
        <w:rPr>
          <w:rFonts w:ascii="Times New Roman" w:hAnsi="Times New Roman" w:cs="Times New Roman"/>
          <w:b/>
          <w:sz w:val="24"/>
          <w:szCs w:val="24"/>
        </w:rPr>
        <w:t>Extended Credit Facil</w:t>
      </w:r>
      <w:r w:rsidR="00A12185" w:rsidRPr="005F6851">
        <w:rPr>
          <w:rFonts w:ascii="Times New Roman" w:hAnsi="Times New Roman" w:cs="Times New Roman"/>
          <w:b/>
          <w:sz w:val="24"/>
          <w:szCs w:val="24"/>
        </w:rPr>
        <w:t>ity</w:t>
      </w:r>
      <w:r w:rsidR="00672AEB" w:rsidRPr="005F6851">
        <w:rPr>
          <w:rFonts w:ascii="Times New Roman" w:hAnsi="Times New Roman" w:cs="Times New Roman"/>
          <w:b/>
          <w:sz w:val="24"/>
          <w:szCs w:val="24"/>
        </w:rPr>
        <w:t xml:space="preserve"> </w:t>
      </w:r>
      <w:r w:rsidR="005D5F50" w:rsidRPr="005F6851">
        <w:rPr>
          <w:rFonts w:ascii="Times New Roman" w:hAnsi="Times New Roman" w:cs="Times New Roman"/>
          <w:b/>
          <w:sz w:val="24"/>
          <w:szCs w:val="24"/>
        </w:rPr>
        <w:t>(ECF)</w:t>
      </w:r>
      <w:r w:rsidR="005D5F50" w:rsidRPr="00E12CEA">
        <w:rPr>
          <w:rFonts w:ascii="Times New Roman" w:hAnsi="Times New Roman" w:cs="Times New Roman"/>
          <w:sz w:val="24"/>
          <w:szCs w:val="24"/>
        </w:rPr>
        <w:t xml:space="preserve"> and the non-financial </w:t>
      </w:r>
      <w:r w:rsidR="005D5F50" w:rsidRPr="005F6851">
        <w:rPr>
          <w:rFonts w:ascii="Times New Roman" w:hAnsi="Times New Roman" w:cs="Times New Roman"/>
          <w:b/>
          <w:sz w:val="24"/>
          <w:szCs w:val="24"/>
        </w:rPr>
        <w:t>Policy Support Instrument (PSI)</w:t>
      </w:r>
      <w:r w:rsidR="005D5F50" w:rsidRPr="00E12CEA">
        <w:rPr>
          <w:rFonts w:ascii="Times New Roman" w:hAnsi="Times New Roman" w:cs="Times New Roman"/>
          <w:sz w:val="24"/>
          <w:szCs w:val="24"/>
        </w:rPr>
        <w:t xml:space="preserve">, created in 2005 </w:t>
      </w:r>
      <w:r w:rsidR="00A12185" w:rsidRPr="00E12CEA">
        <w:rPr>
          <w:rFonts w:ascii="Times New Roman" w:hAnsi="Times New Roman" w:cs="Times New Roman"/>
          <w:sz w:val="24"/>
          <w:szCs w:val="24"/>
        </w:rPr>
        <w:t xml:space="preserve">for LICs with broadly </w:t>
      </w:r>
      <w:r w:rsidR="005D5F50" w:rsidRPr="00E12CEA">
        <w:rPr>
          <w:rFonts w:ascii="Times New Roman" w:hAnsi="Times New Roman" w:cs="Times New Roman"/>
          <w:sz w:val="24"/>
          <w:szCs w:val="24"/>
        </w:rPr>
        <w:t>sustainable macroeconomic positions and no fin</w:t>
      </w:r>
      <w:r w:rsidR="006E2189" w:rsidRPr="00E12CEA">
        <w:rPr>
          <w:rFonts w:ascii="Times New Roman" w:hAnsi="Times New Roman" w:cs="Times New Roman"/>
          <w:sz w:val="24"/>
          <w:szCs w:val="24"/>
        </w:rPr>
        <w:t xml:space="preserve">ancing need. </w:t>
      </w:r>
      <w:r w:rsidR="005D5F50" w:rsidRPr="00E12CEA">
        <w:rPr>
          <w:rFonts w:ascii="Times New Roman" w:hAnsi="Times New Roman" w:cs="Times New Roman"/>
          <w:sz w:val="24"/>
          <w:szCs w:val="24"/>
        </w:rPr>
        <w:t>The SCF provides short-term</w:t>
      </w:r>
      <w:r w:rsidR="00A12185" w:rsidRPr="00E12CEA">
        <w:rPr>
          <w:rFonts w:ascii="Times New Roman" w:hAnsi="Times New Roman" w:cs="Times New Roman"/>
          <w:bCs/>
          <w:sz w:val="24"/>
          <w:szCs w:val="24"/>
        </w:rPr>
        <w:t xml:space="preserve"> </w:t>
      </w:r>
      <w:r w:rsidR="005D5F50" w:rsidRPr="00E12CEA">
        <w:rPr>
          <w:rFonts w:ascii="Times New Roman" w:hAnsi="Times New Roman" w:cs="Times New Roman"/>
          <w:sz w:val="24"/>
          <w:szCs w:val="24"/>
        </w:rPr>
        <w:t>financial arrangements and is applicable to shocks as well as many other circumstances. These new facilities have replaced the previously existing PRGF (“Poverty Reduction and Growth Facility”), the ESF (“Exogenous Shock Facility”) and the Post Conflict and Natural Disaster Facilities. The aim of these recent changes was to streamline and simplify existing facilities and adjust them better to LIC needs. The intention was</w:t>
      </w:r>
      <w:r w:rsidR="00B130C9">
        <w:rPr>
          <w:rFonts w:ascii="Times New Roman" w:hAnsi="Times New Roman" w:cs="Times New Roman"/>
          <w:sz w:val="24"/>
          <w:szCs w:val="24"/>
        </w:rPr>
        <w:t xml:space="preserve"> also</w:t>
      </w:r>
      <w:r w:rsidR="005D5F50" w:rsidRPr="00E12CEA">
        <w:rPr>
          <w:rFonts w:ascii="Times New Roman" w:hAnsi="Times New Roman" w:cs="Times New Roman"/>
          <w:sz w:val="24"/>
          <w:szCs w:val="24"/>
        </w:rPr>
        <w:t xml:space="preserve"> to follow a similar structure to that of </w:t>
      </w:r>
      <w:r w:rsidR="00C560FF" w:rsidRPr="00E12CEA">
        <w:rPr>
          <w:rFonts w:ascii="Times New Roman" w:hAnsi="Times New Roman" w:cs="Times New Roman"/>
          <w:sz w:val="24"/>
          <w:szCs w:val="24"/>
        </w:rPr>
        <w:t xml:space="preserve">the </w:t>
      </w:r>
      <w:r w:rsidR="00C560FF">
        <w:rPr>
          <w:rFonts w:ascii="Times New Roman" w:hAnsi="Times New Roman" w:cs="Times New Roman"/>
          <w:sz w:val="24"/>
          <w:szCs w:val="24"/>
        </w:rPr>
        <w:t>MICs</w:t>
      </w:r>
      <w:r w:rsidR="005D5F50" w:rsidRPr="00E12CEA">
        <w:rPr>
          <w:rFonts w:ascii="Times New Roman" w:hAnsi="Times New Roman" w:cs="Times New Roman"/>
          <w:sz w:val="24"/>
          <w:szCs w:val="24"/>
        </w:rPr>
        <w:t>, with a strong distinction between long term and short term balance of payments needs.</w:t>
      </w:r>
    </w:p>
    <w:p w:rsidR="00707A11" w:rsidRPr="00E12CEA" w:rsidRDefault="00707A11" w:rsidP="006005F5">
      <w:pPr>
        <w:tabs>
          <w:tab w:val="left" w:pos="567"/>
        </w:tabs>
        <w:spacing w:after="0" w:line="240" w:lineRule="auto"/>
        <w:ind w:right="-45"/>
        <w:jc w:val="both"/>
        <w:rPr>
          <w:rFonts w:ascii="Times New Roman" w:hAnsi="Times New Roman" w:cs="Times New Roman"/>
          <w:sz w:val="24"/>
          <w:szCs w:val="24"/>
        </w:rPr>
      </w:pPr>
    </w:p>
    <w:p w:rsidR="00A22EEB" w:rsidRDefault="006F226E" w:rsidP="006005F5">
      <w:pPr>
        <w:tabs>
          <w:tab w:val="left" w:pos="567"/>
        </w:tabs>
        <w:autoSpaceDE w:val="0"/>
        <w:autoSpaceDN w:val="0"/>
        <w:adjustRightInd w:val="0"/>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2</w:t>
      </w:r>
      <w:r w:rsidR="00C57678">
        <w:rPr>
          <w:rFonts w:ascii="Times New Roman" w:hAnsi="Times New Roman" w:cs="Times New Roman"/>
          <w:sz w:val="24"/>
          <w:szCs w:val="24"/>
        </w:rPr>
        <w:t>2</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036CF2" w:rsidRPr="00E12CEA">
        <w:rPr>
          <w:rFonts w:ascii="Times New Roman" w:hAnsi="Times New Roman" w:cs="Times New Roman"/>
          <w:sz w:val="24"/>
          <w:szCs w:val="24"/>
        </w:rPr>
        <w:t>Before analy</w:t>
      </w:r>
      <w:r w:rsidR="00A22EEB" w:rsidRPr="00E12CEA">
        <w:rPr>
          <w:rFonts w:ascii="Times New Roman" w:hAnsi="Times New Roman" w:cs="Times New Roman"/>
          <w:sz w:val="24"/>
          <w:szCs w:val="24"/>
        </w:rPr>
        <w:t>s</w:t>
      </w:r>
      <w:r w:rsidR="00036CF2" w:rsidRPr="00E12CEA">
        <w:rPr>
          <w:rFonts w:ascii="Times New Roman" w:hAnsi="Times New Roman" w:cs="Times New Roman"/>
          <w:sz w:val="24"/>
          <w:szCs w:val="24"/>
        </w:rPr>
        <w:t xml:space="preserve">ing </w:t>
      </w:r>
      <w:r w:rsidR="00806579" w:rsidRPr="00E12CEA">
        <w:rPr>
          <w:rFonts w:ascii="Times New Roman" w:hAnsi="Times New Roman" w:cs="Times New Roman"/>
          <w:sz w:val="24"/>
          <w:szCs w:val="24"/>
        </w:rPr>
        <w:t xml:space="preserve">these facilities, </w:t>
      </w:r>
      <w:r w:rsidR="005D5F50" w:rsidRPr="00E12CEA">
        <w:rPr>
          <w:rFonts w:ascii="Times New Roman" w:hAnsi="Times New Roman" w:cs="Times New Roman"/>
          <w:sz w:val="24"/>
          <w:szCs w:val="24"/>
        </w:rPr>
        <w:t xml:space="preserve">a broad question to ask is how much is gained by fairly small </w:t>
      </w:r>
      <w:r w:rsidR="00672AEB" w:rsidRPr="00E12CEA">
        <w:rPr>
          <w:rFonts w:ascii="Times New Roman" w:hAnsi="Times New Roman" w:cs="Times New Roman"/>
          <w:sz w:val="24"/>
          <w:szCs w:val="24"/>
        </w:rPr>
        <w:t xml:space="preserve">frequent </w:t>
      </w:r>
      <w:r w:rsidR="005D5F50" w:rsidRPr="00E12CEA">
        <w:rPr>
          <w:rFonts w:ascii="Times New Roman" w:hAnsi="Times New Roman" w:cs="Times New Roman"/>
          <w:sz w:val="24"/>
          <w:szCs w:val="24"/>
        </w:rPr>
        <w:t>changes in facilities that require a lot of effo</w:t>
      </w:r>
      <w:r w:rsidR="00806579" w:rsidRPr="00E12CEA">
        <w:rPr>
          <w:rFonts w:ascii="Times New Roman" w:hAnsi="Times New Roman" w:cs="Times New Roman"/>
          <w:sz w:val="24"/>
          <w:szCs w:val="24"/>
        </w:rPr>
        <w:t>rt in design by the IMF and</w:t>
      </w:r>
      <w:r w:rsidR="00672AEB"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 xml:space="preserve">understanding </w:t>
      </w:r>
      <w:r w:rsidR="00806579" w:rsidRPr="00E12CEA">
        <w:rPr>
          <w:rFonts w:ascii="Times New Roman" w:hAnsi="Times New Roman" w:cs="Times New Roman"/>
          <w:sz w:val="24"/>
          <w:szCs w:val="24"/>
        </w:rPr>
        <w:t xml:space="preserve">of changes </w:t>
      </w:r>
      <w:r w:rsidR="005D5F50" w:rsidRPr="00E12CEA">
        <w:rPr>
          <w:rFonts w:ascii="Times New Roman" w:hAnsi="Times New Roman" w:cs="Times New Roman"/>
          <w:sz w:val="24"/>
          <w:szCs w:val="24"/>
        </w:rPr>
        <w:t>by busy polic</w:t>
      </w:r>
      <w:r w:rsidR="00806579" w:rsidRPr="00E12CEA">
        <w:rPr>
          <w:rFonts w:ascii="Times New Roman" w:hAnsi="Times New Roman" w:cs="Times New Roman"/>
          <w:sz w:val="24"/>
          <w:szCs w:val="24"/>
        </w:rPr>
        <w:t xml:space="preserve">y-makers in countries. </w:t>
      </w:r>
      <w:r w:rsidR="005D5F50" w:rsidRPr="00E12CEA">
        <w:rPr>
          <w:rFonts w:ascii="Times New Roman" w:hAnsi="Times New Roman" w:cs="Times New Roman"/>
          <w:sz w:val="24"/>
          <w:szCs w:val="24"/>
        </w:rPr>
        <w:t>This was for example true for facilities like the previous ESF (Exte</w:t>
      </w:r>
      <w:r w:rsidR="00806579" w:rsidRPr="00E12CEA">
        <w:rPr>
          <w:rFonts w:ascii="Times New Roman" w:hAnsi="Times New Roman" w:cs="Times New Roman"/>
          <w:sz w:val="24"/>
          <w:szCs w:val="24"/>
        </w:rPr>
        <w:t xml:space="preserve">rnal Shocks facility), </w:t>
      </w:r>
      <w:r w:rsidR="00672AEB" w:rsidRPr="00E12CEA">
        <w:rPr>
          <w:rFonts w:ascii="Times New Roman" w:hAnsi="Times New Roman" w:cs="Times New Roman"/>
          <w:sz w:val="24"/>
          <w:szCs w:val="24"/>
        </w:rPr>
        <w:t xml:space="preserve">changed when it was </w:t>
      </w:r>
      <w:r w:rsidR="005D5F50" w:rsidRPr="00E12CEA">
        <w:rPr>
          <w:rFonts w:ascii="Times New Roman" w:hAnsi="Times New Roman" w:cs="Times New Roman"/>
          <w:sz w:val="24"/>
          <w:szCs w:val="24"/>
        </w:rPr>
        <w:t>widely seen as working rather well</w:t>
      </w:r>
      <w:r w:rsidR="00806579" w:rsidRPr="00E12CEA">
        <w:rPr>
          <w:rFonts w:ascii="Times New Roman" w:hAnsi="Times New Roman" w:cs="Times New Roman"/>
          <w:sz w:val="24"/>
          <w:szCs w:val="24"/>
        </w:rPr>
        <w:t>.</w:t>
      </w:r>
      <w:r w:rsidR="00B130C9">
        <w:rPr>
          <w:rFonts w:ascii="Times New Roman" w:hAnsi="Times New Roman" w:cs="Times New Roman"/>
          <w:sz w:val="24"/>
          <w:szCs w:val="24"/>
        </w:rPr>
        <w:t xml:space="preserve"> </w:t>
      </w:r>
      <w:r w:rsidR="005D5F50" w:rsidRPr="00E12CEA">
        <w:rPr>
          <w:rFonts w:ascii="Times New Roman" w:hAnsi="Times New Roman" w:cs="Times New Roman"/>
          <w:sz w:val="24"/>
          <w:szCs w:val="24"/>
        </w:rPr>
        <w:t xml:space="preserve">It would seem </w:t>
      </w:r>
      <w:r w:rsidR="00806579" w:rsidRPr="00E12CEA">
        <w:rPr>
          <w:rFonts w:ascii="Times New Roman" w:hAnsi="Times New Roman" w:cs="Times New Roman"/>
          <w:sz w:val="24"/>
          <w:szCs w:val="24"/>
        </w:rPr>
        <w:t xml:space="preserve">that far more </w:t>
      </w:r>
      <w:r w:rsidR="005D5F50" w:rsidRPr="00E12CEA">
        <w:rPr>
          <w:rFonts w:ascii="Times New Roman" w:hAnsi="Times New Roman" w:cs="Times New Roman"/>
          <w:sz w:val="24"/>
          <w:szCs w:val="24"/>
        </w:rPr>
        <w:t xml:space="preserve">worthwhile would have been a significant change in terms of scale (so the lending would cover a </w:t>
      </w:r>
      <w:r w:rsidR="00806579" w:rsidRPr="00E12CEA">
        <w:rPr>
          <w:rFonts w:ascii="Times New Roman" w:hAnsi="Times New Roman" w:cs="Times New Roman"/>
          <w:sz w:val="24"/>
          <w:szCs w:val="24"/>
        </w:rPr>
        <w:t xml:space="preserve">bigger and more </w:t>
      </w:r>
      <w:r w:rsidR="005D5F50" w:rsidRPr="00E12CEA">
        <w:rPr>
          <w:rFonts w:ascii="Times New Roman" w:hAnsi="Times New Roman" w:cs="Times New Roman"/>
          <w:sz w:val="24"/>
          <w:szCs w:val="24"/>
        </w:rPr>
        <w:t>significant proportion of shocks), and a reduction in conditionality, not appropriate for external shocks; the latter, as we point out bel</w:t>
      </w:r>
      <w:r w:rsidR="00003BE2" w:rsidRPr="00E12CEA">
        <w:rPr>
          <w:rFonts w:ascii="Times New Roman" w:hAnsi="Times New Roman" w:cs="Times New Roman"/>
          <w:sz w:val="24"/>
          <w:szCs w:val="24"/>
        </w:rPr>
        <w:t xml:space="preserve">ow would also increase </w:t>
      </w:r>
      <w:r w:rsidR="00806579" w:rsidRPr="00E12CEA">
        <w:rPr>
          <w:rFonts w:ascii="Times New Roman" w:hAnsi="Times New Roman" w:cs="Times New Roman"/>
          <w:sz w:val="24"/>
          <w:szCs w:val="24"/>
        </w:rPr>
        <w:t>speed of</w:t>
      </w:r>
      <w:r w:rsidR="00B130C9">
        <w:rPr>
          <w:rFonts w:ascii="Times New Roman" w:hAnsi="Times New Roman" w:cs="Times New Roman"/>
          <w:sz w:val="24"/>
          <w:szCs w:val="24"/>
        </w:rPr>
        <w:t xml:space="preserve"> disbursement </w:t>
      </w:r>
      <w:r w:rsidR="00066263">
        <w:rPr>
          <w:rFonts w:ascii="Times New Roman" w:hAnsi="Times New Roman" w:cs="Times New Roman"/>
          <w:sz w:val="24"/>
          <w:szCs w:val="24"/>
        </w:rPr>
        <w:t xml:space="preserve">of </w:t>
      </w:r>
      <w:r w:rsidR="00806579" w:rsidRPr="00E12CEA">
        <w:rPr>
          <w:rFonts w:ascii="Times New Roman" w:hAnsi="Times New Roman" w:cs="Times New Roman"/>
          <w:sz w:val="24"/>
          <w:szCs w:val="24"/>
        </w:rPr>
        <w:t xml:space="preserve">IMF </w:t>
      </w:r>
      <w:r w:rsidR="005D5F50" w:rsidRPr="00E12CEA">
        <w:rPr>
          <w:rFonts w:ascii="Times New Roman" w:hAnsi="Times New Roman" w:cs="Times New Roman"/>
          <w:sz w:val="24"/>
          <w:szCs w:val="24"/>
        </w:rPr>
        <w:t>loans.</w:t>
      </w:r>
      <w:r w:rsidR="00C93CC5" w:rsidRPr="00E12CEA">
        <w:rPr>
          <w:rFonts w:ascii="Times New Roman" w:hAnsi="Times New Roman" w:cs="Times New Roman"/>
          <w:sz w:val="24"/>
          <w:szCs w:val="24"/>
        </w:rPr>
        <w:t xml:space="preserve"> </w:t>
      </w:r>
    </w:p>
    <w:p w:rsidR="00707A11" w:rsidRPr="00E12CEA" w:rsidRDefault="00707A11" w:rsidP="006005F5">
      <w:pPr>
        <w:tabs>
          <w:tab w:val="left" w:pos="567"/>
        </w:tabs>
        <w:autoSpaceDE w:val="0"/>
        <w:autoSpaceDN w:val="0"/>
        <w:adjustRightInd w:val="0"/>
        <w:spacing w:after="0" w:line="240" w:lineRule="auto"/>
        <w:ind w:right="-45"/>
        <w:jc w:val="both"/>
        <w:rPr>
          <w:rFonts w:ascii="Times New Roman" w:hAnsi="Times New Roman" w:cs="Times New Roman"/>
          <w:sz w:val="24"/>
          <w:szCs w:val="24"/>
        </w:rPr>
      </w:pPr>
    </w:p>
    <w:p w:rsidR="005D5F50" w:rsidRDefault="006F226E" w:rsidP="006005F5">
      <w:pPr>
        <w:tabs>
          <w:tab w:val="left" w:pos="567"/>
        </w:tabs>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2</w:t>
      </w:r>
      <w:r w:rsidR="00C57678">
        <w:rPr>
          <w:rFonts w:ascii="Times New Roman" w:hAnsi="Times New Roman" w:cs="Times New Roman"/>
          <w:sz w:val="24"/>
          <w:szCs w:val="24"/>
        </w:rPr>
        <w:t>3</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672AEB" w:rsidRPr="005F6851">
        <w:rPr>
          <w:rFonts w:ascii="Times New Roman" w:hAnsi="Times New Roman" w:cs="Times New Roman"/>
          <w:b/>
          <w:sz w:val="24"/>
          <w:szCs w:val="24"/>
        </w:rPr>
        <w:t xml:space="preserve">There </w:t>
      </w:r>
      <w:r w:rsidR="002A1674" w:rsidRPr="005F6851">
        <w:rPr>
          <w:rFonts w:ascii="Times New Roman" w:hAnsi="Times New Roman" w:cs="Times New Roman"/>
          <w:b/>
          <w:sz w:val="24"/>
          <w:szCs w:val="24"/>
        </w:rPr>
        <w:t xml:space="preserve">have been a range of </w:t>
      </w:r>
      <w:r w:rsidR="00806579" w:rsidRPr="005F6851">
        <w:rPr>
          <w:rFonts w:ascii="Times New Roman" w:hAnsi="Times New Roman" w:cs="Times New Roman"/>
          <w:b/>
          <w:sz w:val="24"/>
          <w:szCs w:val="24"/>
        </w:rPr>
        <w:t>positive features in the</w:t>
      </w:r>
      <w:r w:rsidR="00332AC3" w:rsidRPr="005F6851">
        <w:rPr>
          <w:rFonts w:ascii="Times New Roman" w:hAnsi="Times New Roman" w:cs="Times New Roman"/>
          <w:b/>
          <w:sz w:val="24"/>
          <w:szCs w:val="24"/>
        </w:rPr>
        <w:t xml:space="preserve"> past </w:t>
      </w:r>
      <w:r w:rsidR="005D5F50" w:rsidRPr="005F6851">
        <w:rPr>
          <w:rFonts w:ascii="Times New Roman" w:hAnsi="Times New Roman" w:cs="Times New Roman"/>
          <w:b/>
          <w:sz w:val="24"/>
          <w:szCs w:val="24"/>
        </w:rPr>
        <w:t>reform of the LIC IMF facilities.</w:t>
      </w:r>
      <w:r w:rsidR="005D5F50" w:rsidRPr="00E12CEA">
        <w:rPr>
          <w:rFonts w:ascii="Times New Roman" w:hAnsi="Times New Roman" w:cs="Times New Roman"/>
          <w:sz w:val="24"/>
          <w:szCs w:val="24"/>
        </w:rPr>
        <w:t xml:space="preserve"> </w:t>
      </w:r>
      <w:r w:rsidR="002A1674" w:rsidRPr="00E12CEA">
        <w:rPr>
          <w:rFonts w:ascii="Times New Roman" w:hAnsi="Times New Roman" w:cs="Times New Roman"/>
          <w:sz w:val="24"/>
          <w:szCs w:val="24"/>
        </w:rPr>
        <w:t xml:space="preserve">Firstly, </w:t>
      </w:r>
      <w:r w:rsidR="005D5F50" w:rsidRPr="00E12CEA">
        <w:rPr>
          <w:rFonts w:ascii="Times New Roman" w:hAnsi="Times New Roman" w:cs="Times New Roman"/>
          <w:sz w:val="24"/>
          <w:szCs w:val="24"/>
        </w:rPr>
        <w:t xml:space="preserve">the consolidation of facilities simplified </w:t>
      </w:r>
      <w:r w:rsidR="0004160A" w:rsidRPr="00E12CEA">
        <w:rPr>
          <w:rFonts w:ascii="Times New Roman" w:hAnsi="Times New Roman" w:cs="Times New Roman"/>
          <w:sz w:val="24"/>
          <w:szCs w:val="24"/>
        </w:rPr>
        <w:t>some of them</w:t>
      </w:r>
      <w:r w:rsidR="0023094E" w:rsidRPr="00E12CEA">
        <w:rPr>
          <w:rFonts w:ascii="Times New Roman" w:hAnsi="Times New Roman" w:cs="Times New Roman"/>
          <w:sz w:val="24"/>
          <w:szCs w:val="24"/>
        </w:rPr>
        <w:t>.</w:t>
      </w:r>
      <w:r w:rsidR="0004160A" w:rsidRPr="00E12CEA">
        <w:rPr>
          <w:rFonts w:ascii="Times New Roman" w:hAnsi="Times New Roman" w:cs="Times New Roman"/>
          <w:sz w:val="24"/>
          <w:szCs w:val="24"/>
        </w:rPr>
        <w:t xml:space="preserve"> </w:t>
      </w:r>
      <w:r w:rsidR="002A1674" w:rsidRPr="00E12CEA">
        <w:rPr>
          <w:rFonts w:ascii="Times New Roman" w:hAnsi="Times New Roman" w:cs="Times New Roman"/>
          <w:sz w:val="24"/>
          <w:szCs w:val="24"/>
        </w:rPr>
        <w:t>Secondly,</w:t>
      </w:r>
      <w:r w:rsidR="009C36E8">
        <w:rPr>
          <w:rFonts w:ascii="Times New Roman" w:hAnsi="Times New Roman" w:cs="Times New Roman"/>
          <w:sz w:val="24"/>
          <w:szCs w:val="24"/>
        </w:rPr>
        <w:t xml:space="preserve"> </w:t>
      </w:r>
      <w:r w:rsidR="005D5F50" w:rsidRPr="00E12CEA">
        <w:rPr>
          <w:rFonts w:ascii="Times New Roman" w:hAnsi="Times New Roman" w:cs="Times New Roman"/>
          <w:sz w:val="24"/>
          <w:szCs w:val="24"/>
        </w:rPr>
        <w:t xml:space="preserve">the increase of concessionality across all facilities </w:t>
      </w:r>
      <w:r w:rsidR="002A1674" w:rsidRPr="00E12CEA">
        <w:rPr>
          <w:rFonts w:ascii="Times New Roman" w:hAnsi="Times New Roman" w:cs="Times New Roman"/>
          <w:sz w:val="24"/>
          <w:szCs w:val="24"/>
        </w:rPr>
        <w:t>increas</w:t>
      </w:r>
      <w:r w:rsidR="00B130C9">
        <w:rPr>
          <w:rFonts w:ascii="Times New Roman" w:hAnsi="Times New Roman" w:cs="Times New Roman"/>
          <w:sz w:val="24"/>
          <w:szCs w:val="24"/>
        </w:rPr>
        <w:t>ed</w:t>
      </w:r>
      <w:r w:rsidR="002A1674"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from 0.5</w:t>
      </w:r>
      <w:r w:rsidR="007F6CE2">
        <w:rPr>
          <w:rFonts w:ascii="Times New Roman" w:hAnsi="Times New Roman" w:cs="Times New Roman"/>
          <w:sz w:val="24"/>
          <w:szCs w:val="24"/>
        </w:rPr>
        <w:t xml:space="preserve"> per cent</w:t>
      </w:r>
      <w:r w:rsidR="007F6CE2"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to 0.25</w:t>
      </w:r>
      <w:r w:rsidR="007F6CE2">
        <w:rPr>
          <w:rFonts w:ascii="Times New Roman" w:hAnsi="Times New Roman" w:cs="Times New Roman"/>
          <w:sz w:val="24"/>
          <w:szCs w:val="24"/>
        </w:rPr>
        <w:t xml:space="preserve"> per cent</w:t>
      </w:r>
      <w:r w:rsidR="007F6CE2" w:rsidRPr="00E12CEA">
        <w:rPr>
          <w:rFonts w:ascii="Times New Roman" w:hAnsi="Times New Roman" w:cs="Times New Roman"/>
          <w:sz w:val="24"/>
          <w:szCs w:val="24"/>
        </w:rPr>
        <w:t xml:space="preserve"> </w:t>
      </w:r>
      <w:r w:rsidR="002A1674" w:rsidRPr="00E12CEA">
        <w:rPr>
          <w:rFonts w:ascii="Times New Roman" w:hAnsi="Times New Roman" w:cs="Times New Roman"/>
          <w:sz w:val="24"/>
          <w:szCs w:val="24"/>
        </w:rPr>
        <w:t xml:space="preserve">and </w:t>
      </w:r>
      <w:r w:rsidR="005D5F50" w:rsidRPr="00E12CEA">
        <w:rPr>
          <w:rFonts w:ascii="Times New Roman" w:hAnsi="Times New Roman" w:cs="Times New Roman"/>
          <w:sz w:val="24"/>
          <w:szCs w:val="24"/>
        </w:rPr>
        <w:t>some lending such as to Haiti and Nep</w:t>
      </w:r>
      <w:r w:rsidR="00806579" w:rsidRPr="00E12CEA">
        <w:rPr>
          <w:rFonts w:ascii="Times New Roman" w:hAnsi="Times New Roman" w:cs="Times New Roman"/>
          <w:sz w:val="24"/>
          <w:szCs w:val="24"/>
        </w:rPr>
        <w:t xml:space="preserve">al </w:t>
      </w:r>
      <w:r w:rsidR="002A1674" w:rsidRPr="00E12CEA">
        <w:rPr>
          <w:rFonts w:ascii="Times New Roman" w:hAnsi="Times New Roman" w:cs="Times New Roman"/>
          <w:sz w:val="24"/>
          <w:szCs w:val="24"/>
        </w:rPr>
        <w:t>incurr</w:t>
      </w:r>
      <w:r w:rsidR="00066263">
        <w:rPr>
          <w:rFonts w:ascii="Times New Roman" w:hAnsi="Times New Roman" w:cs="Times New Roman"/>
          <w:sz w:val="24"/>
          <w:szCs w:val="24"/>
        </w:rPr>
        <w:t>ed</w:t>
      </w:r>
      <w:r w:rsidR="00806579" w:rsidRPr="00E12CEA">
        <w:rPr>
          <w:rFonts w:ascii="Times New Roman" w:hAnsi="Times New Roman" w:cs="Times New Roman"/>
          <w:sz w:val="24"/>
          <w:szCs w:val="24"/>
        </w:rPr>
        <w:t xml:space="preserve"> </w:t>
      </w:r>
      <w:r w:rsidR="0084147B">
        <w:rPr>
          <w:rFonts w:ascii="Times New Roman" w:hAnsi="Times New Roman" w:cs="Times New Roman"/>
          <w:sz w:val="24"/>
          <w:szCs w:val="24"/>
        </w:rPr>
        <w:t>zero per cent</w:t>
      </w:r>
      <w:r w:rsidR="00806579" w:rsidRPr="00E12CEA">
        <w:rPr>
          <w:rFonts w:ascii="Times New Roman" w:hAnsi="Times New Roman" w:cs="Times New Roman"/>
          <w:sz w:val="24"/>
          <w:szCs w:val="24"/>
        </w:rPr>
        <w:t xml:space="preserve"> interest for</w:t>
      </w:r>
      <w:r w:rsidR="005D5F50" w:rsidRPr="00E12CEA">
        <w:rPr>
          <w:rFonts w:ascii="Times New Roman" w:hAnsi="Times New Roman" w:cs="Times New Roman"/>
          <w:sz w:val="24"/>
          <w:szCs w:val="24"/>
        </w:rPr>
        <w:t xml:space="preserve"> a long period</w:t>
      </w:r>
      <w:r w:rsidR="00F97755" w:rsidRPr="00E12CEA">
        <w:rPr>
          <w:rFonts w:ascii="Times New Roman" w:hAnsi="Times New Roman" w:cs="Times New Roman"/>
          <w:sz w:val="24"/>
          <w:szCs w:val="24"/>
        </w:rPr>
        <w:t>, though reportedly the interest saved has to be paid in later years</w:t>
      </w:r>
      <w:r w:rsidR="002A1674" w:rsidRPr="00E12CEA">
        <w:rPr>
          <w:rFonts w:ascii="Times New Roman" w:hAnsi="Times New Roman" w:cs="Times New Roman"/>
          <w:sz w:val="24"/>
          <w:szCs w:val="24"/>
        </w:rPr>
        <w:t>. Thirdly,</w:t>
      </w:r>
      <w:r w:rsidR="002F35BD"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the RC</w:t>
      </w:r>
      <w:r w:rsidR="00F97755" w:rsidRPr="00E12CEA">
        <w:rPr>
          <w:rFonts w:ascii="Times New Roman" w:hAnsi="Times New Roman" w:cs="Times New Roman"/>
          <w:sz w:val="24"/>
          <w:szCs w:val="24"/>
        </w:rPr>
        <w:t xml:space="preserve">F is more concessional as </w:t>
      </w:r>
      <w:r w:rsidR="00806579" w:rsidRPr="00E12CEA">
        <w:rPr>
          <w:rFonts w:ascii="Times New Roman" w:hAnsi="Times New Roman" w:cs="Times New Roman"/>
          <w:sz w:val="24"/>
          <w:szCs w:val="24"/>
        </w:rPr>
        <w:t>regards</w:t>
      </w:r>
      <w:r w:rsidR="005D5F50" w:rsidRPr="00E12CEA">
        <w:rPr>
          <w:rFonts w:ascii="Times New Roman" w:hAnsi="Times New Roman" w:cs="Times New Roman"/>
          <w:sz w:val="24"/>
          <w:szCs w:val="24"/>
        </w:rPr>
        <w:t xml:space="preserve"> maturity (up to 10 years).  F</w:t>
      </w:r>
      <w:r w:rsidR="002A1674" w:rsidRPr="00E12CEA">
        <w:rPr>
          <w:rFonts w:ascii="Times New Roman" w:hAnsi="Times New Roman" w:cs="Times New Roman"/>
          <w:sz w:val="24"/>
          <w:szCs w:val="24"/>
        </w:rPr>
        <w:t xml:space="preserve">ourthly, </w:t>
      </w:r>
      <w:r w:rsidR="005D5F50" w:rsidRPr="00E12CEA">
        <w:rPr>
          <w:rFonts w:ascii="Times New Roman" w:hAnsi="Times New Roman" w:cs="Times New Roman"/>
          <w:sz w:val="24"/>
          <w:szCs w:val="24"/>
        </w:rPr>
        <w:t>IMF lending to small SVEs, with: a) a population of les</w:t>
      </w:r>
      <w:r w:rsidR="00806579" w:rsidRPr="00E12CEA">
        <w:rPr>
          <w:rFonts w:ascii="Times New Roman" w:hAnsi="Times New Roman" w:cs="Times New Roman"/>
          <w:sz w:val="24"/>
          <w:szCs w:val="24"/>
        </w:rPr>
        <w:t xml:space="preserve">s than 1 million, and b) </w:t>
      </w:r>
      <w:r w:rsidR="005D5F50" w:rsidRPr="00E12CEA">
        <w:rPr>
          <w:rFonts w:ascii="Times New Roman" w:hAnsi="Times New Roman" w:cs="Times New Roman"/>
          <w:sz w:val="24"/>
          <w:szCs w:val="24"/>
        </w:rPr>
        <w:t>level of per capita income no more than twice the level of IDA countr</w:t>
      </w:r>
      <w:r w:rsidR="00806579" w:rsidRPr="00E12CEA">
        <w:rPr>
          <w:rFonts w:ascii="Times New Roman" w:hAnsi="Times New Roman" w:cs="Times New Roman"/>
          <w:sz w:val="24"/>
          <w:szCs w:val="24"/>
        </w:rPr>
        <w:t xml:space="preserve">ies, </w:t>
      </w:r>
      <w:r w:rsidR="005D5F50" w:rsidRPr="00E12CEA">
        <w:rPr>
          <w:rFonts w:ascii="Times New Roman" w:hAnsi="Times New Roman" w:cs="Times New Roman"/>
          <w:sz w:val="24"/>
          <w:szCs w:val="24"/>
        </w:rPr>
        <w:t xml:space="preserve">continues to have more positive treatment, as regards concessionality. </w:t>
      </w:r>
      <w:r w:rsidR="00806579" w:rsidRPr="0052341E">
        <w:rPr>
          <w:rFonts w:ascii="Times New Roman" w:hAnsi="Times New Roman" w:cs="Times New Roman"/>
          <w:b/>
          <w:sz w:val="24"/>
          <w:szCs w:val="24"/>
        </w:rPr>
        <w:t>This</w:t>
      </w:r>
      <w:r w:rsidR="00B130C9" w:rsidRPr="0052341E">
        <w:rPr>
          <w:rFonts w:ascii="Times New Roman" w:hAnsi="Times New Roman" w:cs="Times New Roman"/>
          <w:b/>
          <w:sz w:val="24"/>
          <w:szCs w:val="24"/>
        </w:rPr>
        <w:t xml:space="preserve"> has been </w:t>
      </w:r>
      <w:r w:rsidR="00806579" w:rsidRPr="0052341E">
        <w:rPr>
          <w:rFonts w:ascii="Times New Roman" w:hAnsi="Times New Roman" w:cs="Times New Roman"/>
          <w:b/>
          <w:sz w:val="24"/>
          <w:szCs w:val="24"/>
        </w:rPr>
        <w:t xml:space="preserve">welcome </w:t>
      </w:r>
      <w:r w:rsidR="005D5F50" w:rsidRPr="0052341E">
        <w:rPr>
          <w:rFonts w:ascii="Times New Roman" w:hAnsi="Times New Roman" w:cs="Times New Roman"/>
          <w:b/>
          <w:sz w:val="24"/>
          <w:szCs w:val="24"/>
        </w:rPr>
        <w:t>for the many Commonwealth countries that fall in the SVE category.</w:t>
      </w:r>
      <w:r w:rsidR="005D5F50" w:rsidRPr="00E12CEA">
        <w:rPr>
          <w:rFonts w:ascii="Times New Roman" w:hAnsi="Times New Roman" w:cs="Times New Roman"/>
          <w:sz w:val="24"/>
          <w:szCs w:val="24"/>
        </w:rPr>
        <w:t xml:space="preserve"> </w:t>
      </w:r>
      <w:r w:rsidR="00806579" w:rsidRPr="00E12CEA">
        <w:rPr>
          <w:rFonts w:ascii="Times New Roman" w:hAnsi="Times New Roman" w:cs="Times New Roman"/>
          <w:sz w:val="24"/>
          <w:szCs w:val="24"/>
        </w:rPr>
        <w:t xml:space="preserve">However, this </w:t>
      </w:r>
      <w:r w:rsidR="002F35BD" w:rsidRPr="00E12CEA">
        <w:rPr>
          <w:rFonts w:ascii="Times New Roman" w:hAnsi="Times New Roman" w:cs="Times New Roman"/>
          <w:sz w:val="24"/>
          <w:szCs w:val="24"/>
        </w:rPr>
        <w:t>favourable</w:t>
      </w:r>
      <w:r w:rsidR="005D5F50" w:rsidRPr="00E12CEA">
        <w:rPr>
          <w:rFonts w:ascii="Times New Roman" w:hAnsi="Times New Roman" w:cs="Times New Roman"/>
          <w:sz w:val="24"/>
          <w:szCs w:val="24"/>
        </w:rPr>
        <w:t xml:space="preserve"> treatment may reportedly finish once the global crisis is overcome.</w:t>
      </w:r>
      <w:r w:rsidR="002D6F3B">
        <w:rPr>
          <w:rFonts w:ascii="Times New Roman" w:hAnsi="Times New Roman" w:cs="Times New Roman"/>
          <w:sz w:val="24"/>
          <w:szCs w:val="24"/>
        </w:rPr>
        <w:t xml:space="preserve"> </w:t>
      </w:r>
      <w:r w:rsidR="002A1674" w:rsidRPr="00E12CEA">
        <w:rPr>
          <w:rFonts w:ascii="Times New Roman" w:hAnsi="Times New Roman" w:cs="Times New Roman"/>
          <w:sz w:val="24"/>
          <w:szCs w:val="24"/>
        </w:rPr>
        <w:t xml:space="preserve">Fifthly, </w:t>
      </w:r>
      <w:r w:rsidR="005D5F50" w:rsidRPr="00E12CEA">
        <w:rPr>
          <w:rFonts w:ascii="Times New Roman" w:hAnsi="Times New Roman" w:cs="Times New Roman"/>
          <w:sz w:val="24"/>
          <w:szCs w:val="24"/>
        </w:rPr>
        <w:t xml:space="preserve"> </w:t>
      </w:r>
      <w:r w:rsidR="002A1674" w:rsidRPr="00E12CEA">
        <w:rPr>
          <w:rFonts w:ascii="Times New Roman" w:hAnsi="Times New Roman" w:cs="Times New Roman"/>
          <w:sz w:val="24"/>
          <w:szCs w:val="24"/>
        </w:rPr>
        <w:t xml:space="preserve">IMF </w:t>
      </w:r>
      <w:r w:rsidR="005D5F50" w:rsidRPr="00E12CEA">
        <w:rPr>
          <w:rFonts w:ascii="Times New Roman" w:hAnsi="Times New Roman" w:cs="Times New Roman"/>
          <w:sz w:val="24"/>
          <w:szCs w:val="24"/>
        </w:rPr>
        <w:t>emergency facilities</w:t>
      </w:r>
      <w:r w:rsidR="002A1674" w:rsidRPr="00E12CEA">
        <w:rPr>
          <w:rFonts w:ascii="Times New Roman" w:hAnsi="Times New Roman" w:cs="Times New Roman"/>
          <w:sz w:val="24"/>
          <w:szCs w:val="24"/>
        </w:rPr>
        <w:t xml:space="preserve"> have been consolidated</w:t>
      </w:r>
      <w:r w:rsidR="005D5F50" w:rsidRPr="00E12CEA">
        <w:rPr>
          <w:rFonts w:ascii="Times New Roman" w:hAnsi="Times New Roman" w:cs="Times New Roman"/>
          <w:sz w:val="24"/>
          <w:szCs w:val="24"/>
        </w:rPr>
        <w:t>, for post conflict and natural disaster</w:t>
      </w:r>
      <w:r w:rsidR="002A1674" w:rsidRPr="00E12CEA">
        <w:rPr>
          <w:rFonts w:ascii="Times New Roman" w:hAnsi="Times New Roman" w:cs="Times New Roman"/>
          <w:sz w:val="24"/>
          <w:szCs w:val="24"/>
        </w:rPr>
        <w:t>s</w:t>
      </w:r>
      <w:r w:rsidR="005D5F50" w:rsidRPr="00E12CEA">
        <w:rPr>
          <w:rFonts w:ascii="Times New Roman" w:hAnsi="Times New Roman" w:cs="Times New Roman"/>
          <w:sz w:val="24"/>
          <w:szCs w:val="24"/>
        </w:rPr>
        <w:t>, as well as external economic shocks in the RCF, though  the scale of lending, at only 25</w:t>
      </w:r>
      <w:r w:rsidR="0084147B">
        <w:rPr>
          <w:rFonts w:ascii="Times New Roman" w:hAnsi="Times New Roman" w:cs="Times New Roman"/>
          <w:sz w:val="24"/>
          <w:szCs w:val="24"/>
        </w:rPr>
        <w:t xml:space="preserve"> per cent </w:t>
      </w:r>
      <w:r w:rsidR="005D5F50" w:rsidRPr="00E12CEA">
        <w:rPr>
          <w:rFonts w:ascii="Times New Roman" w:hAnsi="Times New Roman" w:cs="Times New Roman"/>
          <w:sz w:val="24"/>
          <w:szCs w:val="24"/>
        </w:rPr>
        <w:t xml:space="preserve">of quota is very small. </w:t>
      </w:r>
      <w:r w:rsidR="00B51517" w:rsidRPr="00E12CEA">
        <w:rPr>
          <w:rFonts w:ascii="Times New Roman" w:hAnsi="Times New Roman" w:cs="Times New Roman"/>
          <w:sz w:val="24"/>
          <w:szCs w:val="24"/>
        </w:rPr>
        <w:t xml:space="preserve">Finally, </w:t>
      </w:r>
      <w:r w:rsidR="005D5F50" w:rsidRPr="00E12CEA">
        <w:rPr>
          <w:rFonts w:ascii="Times New Roman" w:hAnsi="Times New Roman" w:cs="Times New Roman"/>
          <w:sz w:val="24"/>
          <w:szCs w:val="24"/>
        </w:rPr>
        <w:t>the IMF has streamlined conditionality for the SCF to focus on policy actions that are “critical for achieving the program’s objectives</w:t>
      </w:r>
      <w:r w:rsidR="00806579" w:rsidRPr="00E12CEA">
        <w:rPr>
          <w:rFonts w:ascii="Times New Roman" w:hAnsi="Times New Roman" w:cs="Times New Roman"/>
          <w:sz w:val="24"/>
          <w:szCs w:val="24"/>
        </w:rPr>
        <w:t>”.</w:t>
      </w:r>
    </w:p>
    <w:p w:rsidR="00707A11" w:rsidRPr="00E12CEA" w:rsidRDefault="00707A11" w:rsidP="006005F5">
      <w:pPr>
        <w:tabs>
          <w:tab w:val="left" w:pos="567"/>
        </w:tabs>
        <w:spacing w:after="0" w:line="240" w:lineRule="auto"/>
        <w:ind w:right="-45"/>
        <w:jc w:val="both"/>
        <w:rPr>
          <w:rFonts w:ascii="Times New Roman" w:hAnsi="Times New Roman" w:cs="Times New Roman"/>
          <w:sz w:val="24"/>
          <w:szCs w:val="24"/>
        </w:rPr>
      </w:pPr>
    </w:p>
    <w:p w:rsidR="00897F87" w:rsidRDefault="006F226E" w:rsidP="006005F5">
      <w:pPr>
        <w:tabs>
          <w:tab w:val="left" w:pos="567"/>
        </w:tabs>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2</w:t>
      </w:r>
      <w:r w:rsidR="00C57678">
        <w:rPr>
          <w:rFonts w:ascii="Times New Roman" w:hAnsi="Times New Roman" w:cs="Times New Roman"/>
          <w:sz w:val="24"/>
          <w:szCs w:val="24"/>
        </w:rPr>
        <w:t>4</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5D5F50" w:rsidRPr="00E12CEA">
        <w:rPr>
          <w:rFonts w:ascii="Times New Roman" w:hAnsi="Times New Roman" w:cs="Times New Roman"/>
          <w:sz w:val="24"/>
          <w:szCs w:val="24"/>
        </w:rPr>
        <w:t>However despite these</w:t>
      </w:r>
      <w:r w:rsidR="00B51517" w:rsidRPr="00E12CEA">
        <w:rPr>
          <w:rFonts w:ascii="Times New Roman" w:hAnsi="Times New Roman" w:cs="Times New Roman"/>
          <w:sz w:val="24"/>
          <w:szCs w:val="24"/>
        </w:rPr>
        <w:t xml:space="preserve"> several </w:t>
      </w:r>
      <w:r w:rsidR="005D5F50" w:rsidRPr="00E12CEA">
        <w:rPr>
          <w:rFonts w:ascii="Times New Roman" w:hAnsi="Times New Roman" w:cs="Times New Roman"/>
          <w:sz w:val="24"/>
          <w:szCs w:val="24"/>
        </w:rPr>
        <w:t>po</w:t>
      </w:r>
      <w:r w:rsidR="00897F87" w:rsidRPr="00E12CEA">
        <w:rPr>
          <w:rFonts w:ascii="Times New Roman" w:hAnsi="Times New Roman" w:cs="Times New Roman"/>
          <w:sz w:val="24"/>
          <w:szCs w:val="24"/>
        </w:rPr>
        <w:t>sitive features</w:t>
      </w:r>
      <w:r w:rsidR="005D5F50" w:rsidRPr="00E12CEA">
        <w:rPr>
          <w:rFonts w:ascii="Times New Roman" w:hAnsi="Times New Roman" w:cs="Times New Roman"/>
          <w:sz w:val="24"/>
          <w:szCs w:val="24"/>
        </w:rPr>
        <w:t xml:space="preserve">, </w:t>
      </w:r>
      <w:r w:rsidR="005D5F50" w:rsidRPr="005F6851">
        <w:rPr>
          <w:rFonts w:ascii="Times New Roman" w:hAnsi="Times New Roman" w:cs="Times New Roman"/>
          <w:b/>
          <w:sz w:val="24"/>
          <w:szCs w:val="24"/>
        </w:rPr>
        <w:t xml:space="preserve">the new facilities have </w:t>
      </w:r>
      <w:r w:rsidR="00B51517" w:rsidRPr="005F6851">
        <w:rPr>
          <w:rFonts w:ascii="Times New Roman" w:hAnsi="Times New Roman" w:cs="Times New Roman"/>
          <w:b/>
          <w:sz w:val="24"/>
          <w:szCs w:val="24"/>
        </w:rPr>
        <w:t xml:space="preserve">several </w:t>
      </w:r>
      <w:r w:rsidR="002F35BD" w:rsidRPr="005F6851">
        <w:rPr>
          <w:rFonts w:ascii="Times New Roman" w:hAnsi="Times New Roman" w:cs="Times New Roman"/>
          <w:b/>
          <w:sz w:val="24"/>
          <w:szCs w:val="24"/>
        </w:rPr>
        <w:t>shortfalls from</w:t>
      </w:r>
      <w:r w:rsidR="005D5F50" w:rsidRPr="005F6851">
        <w:rPr>
          <w:rFonts w:ascii="Times New Roman" w:hAnsi="Times New Roman" w:cs="Times New Roman"/>
          <w:b/>
          <w:sz w:val="24"/>
          <w:szCs w:val="24"/>
        </w:rPr>
        <w:t xml:space="preserve"> the perspective of compensatory financing especially for countries with difficult access to international private capital markets.</w:t>
      </w:r>
      <w:r w:rsidR="005D5F50" w:rsidRPr="00E12CEA">
        <w:rPr>
          <w:rFonts w:ascii="Times New Roman" w:hAnsi="Times New Roman" w:cs="Times New Roman"/>
          <w:sz w:val="24"/>
          <w:szCs w:val="24"/>
        </w:rPr>
        <w:t xml:space="preserve"> </w:t>
      </w:r>
      <w:r w:rsidR="00B51517" w:rsidRPr="00E12CEA">
        <w:rPr>
          <w:rFonts w:ascii="Times New Roman" w:hAnsi="Times New Roman" w:cs="Times New Roman"/>
          <w:sz w:val="24"/>
          <w:szCs w:val="24"/>
        </w:rPr>
        <w:t>Firstly, t</w:t>
      </w:r>
      <w:r w:rsidR="005D5F50" w:rsidRPr="00E12CEA">
        <w:rPr>
          <w:rFonts w:ascii="Times New Roman" w:hAnsi="Times New Roman" w:cs="Times New Roman"/>
          <w:sz w:val="24"/>
          <w:szCs w:val="24"/>
        </w:rPr>
        <w:t xml:space="preserve">he current evolution of IMF facilities means that the original concept of IMF compensatory financing, as providing countries facing purely external shocks </w:t>
      </w:r>
      <w:r w:rsidR="00B51517" w:rsidRPr="00E12CEA">
        <w:rPr>
          <w:rFonts w:ascii="Times New Roman" w:hAnsi="Times New Roman" w:cs="Times New Roman"/>
          <w:sz w:val="24"/>
          <w:szCs w:val="24"/>
        </w:rPr>
        <w:t xml:space="preserve">with </w:t>
      </w:r>
      <w:r w:rsidR="005D5F50" w:rsidRPr="00E12CEA">
        <w:rPr>
          <w:rFonts w:ascii="Times New Roman" w:hAnsi="Times New Roman" w:cs="Times New Roman"/>
          <w:sz w:val="24"/>
          <w:szCs w:val="24"/>
        </w:rPr>
        <w:t xml:space="preserve">almost automatic, very rapid </w:t>
      </w:r>
      <w:r w:rsidR="00F97755"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liquidity</w:t>
      </w:r>
      <w:r w:rsidR="00B51517" w:rsidRPr="00E12CEA">
        <w:rPr>
          <w:rFonts w:ascii="Times New Roman" w:hAnsi="Times New Roman" w:cs="Times New Roman"/>
          <w:sz w:val="24"/>
          <w:szCs w:val="24"/>
        </w:rPr>
        <w:t xml:space="preserve"> constituting a significant proportion of the shock </w:t>
      </w:r>
      <w:r w:rsidR="005D5F50" w:rsidRPr="00E12CEA">
        <w:rPr>
          <w:rFonts w:ascii="Times New Roman" w:hAnsi="Times New Roman" w:cs="Times New Roman"/>
          <w:sz w:val="24"/>
          <w:szCs w:val="24"/>
        </w:rPr>
        <w:t xml:space="preserve">continues to be very sharply diluted, in this instance </w:t>
      </w:r>
      <w:r w:rsidR="0041606F" w:rsidRPr="00E12CEA">
        <w:rPr>
          <w:rFonts w:ascii="Times New Roman" w:hAnsi="Times New Roman" w:cs="Times New Roman"/>
          <w:sz w:val="24"/>
          <w:szCs w:val="24"/>
        </w:rPr>
        <w:t>for LICs</w:t>
      </w:r>
      <w:r w:rsidR="00897F87" w:rsidRPr="00E12CEA">
        <w:rPr>
          <w:rFonts w:ascii="Times New Roman" w:hAnsi="Times New Roman" w:cs="Times New Roman"/>
          <w:sz w:val="24"/>
          <w:szCs w:val="24"/>
        </w:rPr>
        <w:t xml:space="preserve">. </w:t>
      </w:r>
      <w:r w:rsidR="00B51517" w:rsidRPr="00E12CEA">
        <w:rPr>
          <w:rFonts w:ascii="Times New Roman" w:hAnsi="Times New Roman" w:cs="Times New Roman"/>
          <w:sz w:val="24"/>
          <w:szCs w:val="24"/>
        </w:rPr>
        <w:t xml:space="preserve">The only low conditionality IMF compensatory financing facility </w:t>
      </w:r>
      <w:r w:rsidR="00B130C9">
        <w:rPr>
          <w:rFonts w:ascii="Times New Roman" w:hAnsi="Times New Roman" w:cs="Times New Roman"/>
          <w:sz w:val="24"/>
          <w:szCs w:val="24"/>
        </w:rPr>
        <w:t xml:space="preserve">for LICs which </w:t>
      </w:r>
      <w:r w:rsidR="00B51517" w:rsidRPr="00E12CEA">
        <w:rPr>
          <w:rFonts w:ascii="Times New Roman" w:hAnsi="Times New Roman" w:cs="Times New Roman"/>
          <w:sz w:val="24"/>
          <w:szCs w:val="24"/>
        </w:rPr>
        <w:t>remain</w:t>
      </w:r>
      <w:r w:rsidR="00B130C9">
        <w:rPr>
          <w:rFonts w:ascii="Times New Roman" w:hAnsi="Times New Roman" w:cs="Times New Roman"/>
          <w:sz w:val="24"/>
          <w:szCs w:val="24"/>
        </w:rPr>
        <w:t>s</w:t>
      </w:r>
      <w:r w:rsidR="00B51517" w:rsidRPr="00E12CEA">
        <w:rPr>
          <w:rFonts w:ascii="Times New Roman" w:hAnsi="Times New Roman" w:cs="Times New Roman"/>
          <w:sz w:val="24"/>
          <w:szCs w:val="24"/>
        </w:rPr>
        <w:t xml:space="preserve"> at </w:t>
      </w:r>
      <w:r w:rsidR="00C560FF" w:rsidRPr="00E12CEA">
        <w:rPr>
          <w:rFonts w:ascii="Times New Roman" w:hAnsi="Times New Roman" w:cs="Times New Roman"/>
          <w:sz w:val="24"/>
          <w:szCs w:val="24"/>
        </w:rPr>
        <w:t xml:space="preserve">present </w:t>
      </w:r>
      <w:r w:rsidR="00C560FF">
        <w:rPr>
          <w:rFonts w:ascii="Times New Roman" w:hAnsi="Times New Roman" w:cs="Times New Roman"/>
          <w:sz w:val="24"/>
          <w:szCs w:val="24"/>
        </w:rPr>
        <w:t>is</w:t>
      </w:r>
      <w:r w:rsidR="00B51517" w:rsidRPr="00E12CEA">
        <w:rPr>
          <w:rFonts w:ascii="Times New Roman" w:hAnsi="Times New Roman" w:cs="Times New Roman"/>
          <w:sz w:val="24"/>
          <w:szCs w:val="24"/>
        </w:rPr>
        <w:t xml:space="preserve"> the </w:t>
      </w:r>
      <w:r w:rsidR="00B130C9">
        <w:rPr>
          <w:rFonts w:ascii="Times New Roman" w:hAnsi="Times New Roman" w:cs="Times New Roman"/>
          <w:sz w:val="24"/>
          <w:szCs w:val="24"/>
        </w:rPr>
        <w:t xml:space="preserve">very </w:t>
      </w:r>
      <w:r w:rsidR="00B51517" w:rsidRPr="00E12CEA">
        <w:rPr>
          <w:rFonts w:ascii="Times New Roman" w:hAnsi="Times New Roman" w:cs="Times New Roman"/>
          <w:sz w:val="24"/>
          <w:szCs w:val="24"/>
        </w:rPr>
        <w:t>small RCF, which only reaches 25</w:t>
      </w:r>
      <w:r w:rsidR="0084147B">
        <w:rPr>
          <w:rFonts w:ascii="Times New Roman" w:hAnsi="Times New Roman" w:cs="Times New Roman"/>
          <w:sz w:val="24"/>
          <w:szCs w:val="24"/>
        </w:rPr>
        <w:t xml:space="preserve"> per cent</w:t>
      </w:r>
      <w:r w:rsidR="00B51517" w:rsidRPr="00E12CEA">
        <w:rPr>
          <w:rFonts w:ascii="Times New Roman" w:hAnsi="Times New Roman" w:cs="Times New Roman"/>
          <w:sz w:val="24"/>
          <w:szCs w:val="24"/>
        </w:rPr>
        <w:t xml:space="preserve"> of a country’s quota per annum. </w:t>
      </w:r>
      <w:r w:rsidR="00897F87" w:rsidRPr="00E12CEA">
        <w:rPr>
          <w:rFonts w:ascii="Times New Roman" w:hAnsi="Times New Roman" w:cs="Times New Roman"/>
          <w:sz w:val="24"/>
          <w:szCs w:val="24"/>
        </w:rPr>
        <w:t>Furthermore</w:t>
      </w:r>
      <w:r w:rsidR="005D5F50" w:rsidRPr="00E12CEA">
        <w:rPr>
          <w:rFonts w:ascii="Times New Roman" w:hAnsi="Times New Roman" w:cs="Times New Roman"/>
          <w:sz w:val="24"/>
          <w:szCs w:val="24"/>
        </w:rPr>
        <w:t>, the Compensatory F</w:t>
      </w:r>
      <w:r w:rsidR="0041606F" w:rsidRPr="00E12CEA">
        <w:rPr>
          <w:rFonts w:ascii="Times New Roman" w:hAnsi="Times New Roman" w:cs="Times New Roman"/>
          <w:sz w:val="24"/>
          <w:szCs w:val="24"/>
        </w:rPr>
        <w:t>inancing Facility</w:t>
      </w:r>
      <w:r w:rsidR="00F97755" w:rsidRPr="00E12CEA">
        <w:rPr>
          <w:rFonts w:ascii="Times New Roman" w:hAnsi="Times New Roman" w:cs="Times New Roman"/>
          <w:sz w:val="24"/>
          <w:szCs w:val="24"/>
        </w:rPr>
        <w:t xml:space="preserve"> for terms of trade shocks</w:t>
      </w:r>
      <w:r w:rsidR="0041606F" w:rsidRPr="00E12CEA">
        <w:rPr>
          <w:rFonts w:ascii="Times New Roman" w:hAnsi="Times New Roman" w:cs="Times New Roman"/>
          <w:sz w:val="24"/>
          <w:szCs w:val="24"/>
        </w:rPr>
        <w:t xml:space="preserve">, for MICs </w:t>
      </w:r>
      <w:r w:rsidR="005D5F50" w:rsidRPr="00E12CEA">
        <w:rPr>
          <w:rFonts w:ascii="Times New Roman" w:hAnsi="Times New Roman" w:cs="Times New Roman"/>
          <w:sz w:val="24"/>
          <w:szCs w:val="24"/>
        </w:rPr>
        <w:t>that had been so widely and successful</w:t>
      </w:r>
      <w:r w:rsidR="00897F87" w:rsidRPr="00E12CEA">
        <w:rPr>
          <w:rFonts w:ascii="Times New Roman" w:hAnsi="Times New Roman" w:cs="Times New Roman"/>
          <w:sz w:val="24"/>
          <w:szCs w:val="24"/>
        </w:rPr>
        <w:t>ly used in previous decades (</w:t>
      </w:r>
      <w:r w:rsidR="0041606F" w:rsidRPr="00E12CEA">
        <w:rPr>
          <w:rFonts w:ascii="Times New Roman" w:hAnsi="Times New Roman" w:cs="Times New Roman"/>
          <w:sz w:val="24"/>
          <w:szCs w:val="24"/>
        </w:rPr>
        <w:t xml:space="preserve">see </w:t>
      </w:r>
      <w:r w:rsidR="005D5F50" w:rsidRPr="00E12CEA">
        <w:rPr>
          <w:rFonts w:ascii="Times New Roman" w:hAnsi="Times New Roman" w:cs="Times New Roman"/>
          <w:sz w:val="24"/>
          <w:szCs w:val="24"/>
        </w:rPr>
        <w:t>for example Grif</w:t>
      </w:r>
      <w:r w:rsidR="00F97755" w:rsidRPr="00E12CEA">
        <w:rPr>
          <w:rFonts w:ascii="Times New Roman" w:hAnsi="Times New Roman" w:cs="Times New Roman"/>
          <w:sz w:val="24"/>
          <w:szCs w:val="24"/>
        </w:rPr>
        <w:t>fith-Jones and Ocampo, op cit</w:t>
      </w:r>
      <w:r w:rsidR="005D5F50" w:rsidRPr="00E12CEA">
        <w:rPr>
          <w:rFonts w:ascii="Times New Roman" w:hAnsi="Times New Roman" w:cs="Times New Roman"/>
          <w:sz w:val="24"/>
          <w:szCs w:val="24"/>
        </w:rPr>
        <w:t xml:space="preserve">) had previously also </w:t>
      </w:r>
      <w:r w:rsidR="00C35605">
        <w:rPr>
          <w:rFonts w:ascii="Times New Roman" w:hAnsi="Times New Roman" w:cs="Times New Roman"/>
          <w:sz w:val="24"/>
          <w:szCs w:val="24"/>
        </w:rPr>
        <w:t xml:space="preserve">been </w:t>
      </w:r>
      <w:r w:rsidR="005D5F50" w:rsidRPr="00E12CEA">
        <w:rPr>
          <w:rFonts w:ascii="Times New Roman" w:hAnsi="Times New Roman" w:cs="Times New Roman"/>
          <w:sz w:val="24"/>
          <w:szCs w:val="24"/>
        </w:rPr>
        <w:t xml:space="preserve">abolished. </w:t>
      </w:r>
    </w:p>
    <w:p w:rsidR="00707A11" w:rsidRPr="00E12CEA" w:rsidRDefault="00707A11" w:rsidP="006005F5">
      <w:pPr>
        <w:tabs>
          <w:tab w:val="left" w:pos="567"/>
        </w:tabs>
        <w:spacing w:after="0" w:line="240" w:lineRule="auto"/>
        <w:ind w:right="-45"/>
        <w:jc w:val="both"/>
        <w:rPr>
          <w:rFonts w:ascii="Times New Roman" w:hAnsi="Times New Roman" w:cs="Times New Roman"/>
          <w:sz w:val="24"/>
          <w:szCs w:val="24"/>
        </w:rPr>
      </w:pPr>
    </w:p>
    <w:p w:rsidR="00707A11" w:rsidRPr="00E12CEA" w:rsidRDefault="006F226E" w:rsidP="006005F5">
      <w:pPr>
        <w:tabs>
          <w:tab w:val="left" w:pos="567"/>
        </w:tabs>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2</w:t>
      </w:r>
      <w:r w:rsidR="00C57678">
        <w:rPr>
          <w:rFonts w:ascii="Times New Roman" w:hAnsi="Times New Roman" w:cs="Times New Roman"/>
          <w:sz w:val="24"/>
          <w:szCs w:val="24"/>
        </w:rPr>
        <w:t>5</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5D5F50" w:rsidRPr="00E12CEA">
        <w:rPr>
          <w:rFonts w:ascii="Times New Roman" w:hAnsi="Times New Roman" w:cs="Times New Roman"/>
          <w:sz w:val="24"/>
          <w:szCs w:val="24"/>
        </w:rPr>
        <w:t>I</w:t>
      </w:r>
      <w:r w:rsidR="002D6F3B">
        <w:rPr>
          <w:rFonts w:ascii="Times New Roman" w:hAnsi="Times New Roman" w:cs="Times New Roman"/>
          <w:sz w:val="24"/>
          <w:szCs w:val="24"/>
        </w:rPr>
        <w:t xml:space="preserve">n 2009 </w:t>
      </w:r>
      <w:r w:rsidR="005D5F50" w:rsidRPr="00E12CEA">
        <w:rPr>
          <w:rFonts w:ascii="Times New Roman" w:hAnsi="Times New Roman" w:cs="Times New Roman"/>
          <w:sz w:val="24"/>
          <w:szCs w:val="24"/>
        </w:rPr>
        <w:t xml:space="preserve">the </w:t>
      </w:r>
      <w:r w:rsidR="00D7200F">
        <w:rPr>
          <w:rFonts w:ascii="Times New Roman" w:hAnsi="Times New Roman" w:cs="Times New Roman"/>
          <w:sz w:val="24"/>
          <w:szCs w:val="24"/>
        </w:rPr>
        <w:t xml:space="preserve">IMF </w:t>
      </w:r>
      <w:r w:rsidR="005D5F50" w:rsidRPr="00E12CEA">
        <w:rPr>
          <w:rFonts w:ascii="Times New Roman" w:hAnsi="Times New Roman" w:cs="Times New Roman"/>
          <w:sz w:val="24"/>
          <w:szCs w:val="24"/>
        </w:rPr>
        <w:t>created a preventive facility, the Flexible Credit Line</w:t>
      </w:r>
      <w:r w:rsidR="006E2189"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(FCL)</w:t>
      </w:r>
      <w:r w:rsidR="002D6F3B">
        <w:rPr>
          <w:rFonts w:ascii="Times New Roman" w:hAnsi="Times New Roman" w:cs="Times New Roman"/>
          <w:sz w:val="24"/>
          <w:szCs w:val="24"/>
        </w:rPr>
        <w:t xml:space="preserve"> for MICs, designed</w:t>
      </w:r>
      <w:r w:rsidR="005D5F50" w:rsidRPr="00E12CEA">
        <w:rPr>
          <w:rFonts w:ascii="Times New Roman" w:hAnsi="Times New Roman" w:cs="Times New Roman"/>
          <w:sz w:val="24"/>
          <w:szCs w:val="24"/>
        </w:rPr>
        <w:t xml:space="preserve"> for countries </w:t>
      </w:r>
      <w:r w:rsidR="00D7200F">
        <w:rPr>
          <w:rFonts w:ascii="Times New Roman" w:hAnsi="Times New Roman" w:cs="Times New Roman"/>
          <w:sz w:val="24"/>
          <w:szCs w:val="24"/>
        </w:rPr>
        <w:t>that it perceives</w:t>
      </w:r>
      <w:r w:rsidR="005D5F50" w:rsidRPr="00E12CEA">
        <w:rPr>
          <w:rFonts w:ascii="Times New Roman" w:hAnsi="Times New Roman" w:cs="Times New Roman"/>
          <w:sz w:val="24"/>
          <w:szCs w:val="24"/>
        </w:rPr>
        <w:t xml:space="preserve"> as having very strong fundamentals, but that risk facing prob</w:t>
      </w:r>
      <w:r w:rsidR="00897F87" w:rsidRPr="00E12CEA">
        <w:rPr>
          <w:rFonts w:ascii="Times New Roman" w:hAnsi="Times New Roman" w:cs="Times New Roman"/>
          <w:sz w:val="24"/>
          <w:szCs w:val="24"/>
        </w:rPr>
        <w:t>lems with the capital account</w:t>
      </w:r>
      <w:r w:rsidR="00332AC3" w:rsidRPr="00E12CEA">
        <w:rPr>
          <w:rFonts w:ascii="Times New Roman" w:hAnsi="Times New Roman" w:cs="Times New Roman"/>
          <w:sz w:val="24"/>
          <w:szCs w:val="24"/>
        </w:rPr>
        <w:t>, shocks that have become more important in recent years</w:t>
      </w:r>
      <w:r w:rsidR="00D7200F">
        <w:rPr>
          <w:rFonts w:ascii="Times New Roman" w:hAnsi="Times New Roman" w:cs="Times New Roman"/>
          <w:sz w:val="24"/>
          <w:szCs w:val="24"/>
        </w:rPr>
        <w:t>. T</w:t>
      </w:r>
      <w:r w:rsidR="00897F87" w:rsidRPr="00E12CEA">
        <w:rPr>
          <w:rFonts w:ascii="Times New Roman" w:hAnsi="Times New Roman" w:cs="Times New Roman"/>
          <w:sz w:val="24"/>
          <w:szCs w:val="24"/>
        </w:rPr>
        <w:t xml:space="preserve">his facility </w:t>
      </w:r>
      <w:r w:rsidR="005D5F50" w:rsidRPr="00E12CEA">
        <w:rPr>
          <w:rFonts w:ascii="Times New Roman" w:hAnsi="Times New Roman" w:cs="Times New Roman"/>
          <w:sz w:val="24"/>
          <w:szCs w:val="24"/>
        </w:rPr>
        <w:t>has been used. In 2010, the IMF created another preventive facility</w:t>
      </w:r>
      <w:r w:rsidR="00F97755" w:rsidRPr="00E12CEA">
        <w:rPr>
          <w:rFonts w:ascii="Times New Roman" w:hAnsi="Times New Roman" w:cs="Times New Roman"/>
          <w:sz w:val="24"/>
          <w:szCs w:val="24"/>
        </w:rPr>
        <w:t xml:space="preserve"> for capital account shocks</w:t>
      </w:r>
      <w:r w:rsidR="005D5F50" w:rsidRPr="00E12CEA">
        <w:rPr>
          <w:rFonts w:ascii="Times New Roman" w:hAnsi="Times New Roman" w:cs="Times New Roman"/>
          <w:sz w:val="24"/>
          <w:szCs w:val="24"/>
        </w:rPr>
        <w:t>, the Precautionary Credit Facility</w:t>
      </w:r>
      <w:r w:rsidR="0041606F"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(PCL) for countries with good po</w:t>
      </w:r>
      <w:r w:rsidR="00897F87" w:rsidRPr="00E12CEA">
        <w:rPr>
          <w:rFonts w:ascii="Times New Roman" w:hAnsi="Times New Roman" w:cs="Times New Roman"/>
          <w:sz w:val="24"/>
          <w:szCs w:val="24"/>
        </w:rPr>
        <w:t xml:space="preserve">licies, but which do not </w:t>
      </w:r>
      <w:r w:rsidR="002F35BD" w:rsidRPr="00E12CEA">
        <w:rPr>
          <w:rFonts w:ascii="Times New Roman" w:hAnsi="Times New Roman" w:cs="Times New Roman"/>
          <w:sz w:val="24"/>
          <w:szCs w:val="24"/>
        </w:rPr>
        <w:t>fulfil</w:t>
      </w:r>
      <w:r w:rsidR="00897F87"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the same requisites as those with access to the FCL.</w:t>
      </w:r>
    </w:p>
    <w:p w:rsidR="005D5F50" w:rsidRPr="00E12CEA" w:rsidRDefault="005D5F50" w:rsidP="006005F5">
      <w:pPr>
        <w:tabs>
          <w:tab w:val="left" w:pos="567"/>
        </w:tabs>
        <w:spacing w:after="0" w:line="240" w:lineRule="auto"/>
        <w:ind w:right="-45"/>
        <w:jc w:val="both"/>
        <w:rPr>
          <w:rFonts w:ascii="Times New Roman" w:hAnsi="Times New Roman" w:cs="Times New Roman"/>
          <w:sz w:val="24"/>
          <w:szCs w:val="24"/>
        </w:rPr>
      </w:pPr>
    </w:p>
    <w:p w:rsidR="005D5F50" w:rsidRDefault="006F226E" w:rsidP="006005F5">
      <w:pPr>
        <w:tabs>
          <w:tab w:val="left" w:pos="567"/>
        </w:tabs>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2</w:t>
      </w:r>
      <w:r w:rsidR="00C57678">
        <w:rPr>
          <w:rFonts w:ascii="Times New Roman" w:hAnsi="Times New Roman" w:cs="Times New Roman"/>
          <w:sz w:val="24"/>
          <w:szCs w:val="24"/>
        </w:rPr>
        <w:t>6</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5D5F50" w:rsidRPr="00E12CEA">
        <w:rPr>
          <w:rFonts w:ascii="Times New Roman" w:hAnsi="Times New Roman" w:cs="Times New Roman"/>
          <w:sz w:val="24"/>
          <w:szCs w:val="24"/>
        </w:rPr>
        <w:t>However, as regards shocks on the trade acco</w:t>
      </w:r>
      <w:r w:rsidR="00897F87" w:rsidRPr="00E12CEA">
        <w:rPr>
          <w:rFonts w:ascii="Times New Roman" w:hAnsi="Times New Roman" w:cs="Times New Roman"/>
          <w:sz w:val="24"/>
          <w:szCs w:val="24"/>
        </w:rPr>
        <w:t>unt for MICs</w:t>
      </w:r>
      <w:r w:rsidR="005D5F50" w:rsidRPr="00E12CEA">
        <w:rPr>
          <w:rFonts w:ascii="Times New Roman" w:hAnsi="Times New Roman" w:cs="Times New Roman"/>
          <w:sz w:val="24"/>
          <w:szCs w:val="24"/>
        </w:rPr>
        <w:t xml:space="preserve"> we can see in fact a step backward from the purpose with which the IMF Compensatory Fina</w:t>
      </w:r>
      <w:r w:rsidR="00F97755" w:rsidRPr="00E12CEA">
        <w:rPr>
          <w:rFonts w:ascii="Times New Roman" w:hAnsi="Times New Roman" w:cs="Times New Roman"/>
          <w:sz w:val="24"/>
          <w:szCs w:val="24"/>
        </w:rPr>
        <w:t xml:space="preserve">ncing Facility was created </w:t>
      </w:r>
      <w:r w:rsidR="005D5F50" w:rsidRPr="00E12CEA">
        <w:rPr>
          <w:rFonts w:ascii="Times New Roman" w:hAnsi="Times New Roman" w:cs="Times New Roman"/>
          <w:sz w:val="24"/>
          <w:szCs w:val="24"/>
        </w:rPr>
        <w:t>explicit</w:t>
      </w:r>
      <w:r w:rsidR="00897F87" w:rsidRPr="00E12CEA">
        <w:rPr>
          <w:rFonts w:ascii="Times New Roman" w:hAnsi="Times New Roman" w:cs="Times New Roman"/>
          <w:sz w:val="24"/>
          <w:szCs w:val="24"/>
        </w:rPr>
        <w:t xml:space="preserve">ly recognized in a </w:t>
      </w:r>
      <w:r w:rsidR="0041606F" w:rsidRPr="00E12CEA">
        <w:rPr>
          <w:rFonts w:ascii="Times New Roman" w:hAnsi="Times New Roman" w:cs="Times New Roman"/>
          <w:sz w:val="24"/>
          <w:szCs w:val="24"/>
        </w:rPr>
        <w:t xml:space="preserve">Fund study </w:t>
      </w:r>
      <w:r w:rsidR="005D5F50" w:rsidRPr="00E12CEA">
        <w:rPr>
          <w:rFonts w:ascii="Times New Roman" w:hAnsi="Times New Roman" w:cs="Times New Roman"/>
          <w:sz w:val="24"/>
          <w:szCs w:val="24"/>
        </w:rPr>
        <w:t>(Goreux, 1980); “the facility would enable a member to borrow when its export earnings and financial reserves are low and to repay when they are high, so its import capacity is unaffected by fluctuations in export earnings caused</w:t>
      </w:r>
      <w:r w:rsidR="005D5F50" w:rsidRPr="00E12CEA">
        <w:rPr>
          <w:rFonts w:ascii="Times New Roman" w:hAnsi="Times New Roman" w:cs="Times New Roman"/>
          <w:i/>
          <w:iCs/>
          <w:sz w:val="24"/>
          <w:szCs w:val="24"/>
        </w:rPr>
        <w:t xml:space="preserve"> by external </w:t>
      </w:r>
      <w:r w:rsidR="005D5F50" w:rsidRPr="00E12CEA">
        <w:rPr>
          <w:rFonts w:ascii="Times New Roman" w:hAnsi="Times New Roman" w:cs="Times New Roman"/>
          <w:i/>
          <w:iCs/>
          <w:sz w:val="24"/>
          <w:szCs w:val="24"/>
        </w:rPr>
        <w:lastRenderedPageBreak/>
        <w:t>events</w:t>
      </w:r>
      <w:r w:rsidR="00897F87" w:rsidRPr="00E12CEA">
        <w:rPr>
          <w:rFonts w:ascii="Times New Roman" w:hAnsi="Times New Roman" w:cs="Times New Roman"/>
          <w:sz w:val="24"/>
          <w:szCs w:val="24"/>
        </w:rPr>
        <w:t>”.  T</w:t>
      </w:r>
      <w:r w:rsidR="005D5F50" w:rsidRPr="00E12CEA">
        <w:rPr>
          <w:rFonts w:ascii="Times New Roman" w:hAnsi="Times New Roman" w:cs="Times New Roman"/>
          <w:sz w:val="24"/>
          <w:szCs w:val="24"/>
        </w:rPr>
        <w:t xml:space="preserve">his was clearly based on </w:t>
      </w:r>
      <w:r w:rsidR="002B3B62">
        <w:rPr>
          <w:rFonts w:ascii="Times New Roman" w:hAnsi="Times New Roman" w:cs="Times New Roman"/>
          <w:sz w:val="24"/>
          <w:szCs w:val="24"/>
        </w:rPr>
        <w:t>the approach that</w:t>
      </w:r>
      <w:r w:rsidR="005D5F50" w:rsidRPr="00E12CEA">
        <w:rPr>
          <w:rFonts w:ascii="Times New Roman" w:hAnsi="Times New Roman" w:cs="Times New Roman"/>
          <w:sz w:val="24"/>
          <w:szCs w:val="24"/>
        </w:rPr>
        <w:t xml:space="preserve"> IMF official liquidity</w:t>
      </w:r>
      <w:r w:rsidR="00F97755" w:rsidRPr="00E12CEA">
        <w:rPr>
          <w:rFonts w:ascii="Times New Roman" w:hAnsi="Times New Roman" w:cs="Times New Roman"/>
          <w:sz w:val="24"/>
          <w:szCs w:val="24"/>
        </w:rPr>
        <w:t xml:space="preserve"> should allow levels</w:t>
      </w:r>
      <w:r w:rsidR="005D5F50" w:rsidRPr="00E12CEA">
        <w:rPr>
          <w:rFonts w:ascii="Times New Roman" w:hAnsi="Times New Roman" w:cs="Times New Roman"/>
          <w:sz w:val="24"/>
          <w:szCs w:val="24"/>
        </w:rPr>
        <w:t xml:space="preserve"> to be maintained </w:t>
      </w:r>
      <w:r w:rsidR="00897F87" w:rsidRPr="00E12CEA">
        <w:rPr>
          <w:rFonts w:ascii="Times New Roman" w:hAnsi="Times New Roman" w:cs="Times New Roman"/>
          <w:sz w:val="24"/>
          <w:szCs w:val="24"/>
        </w:rPr>
        <w:t>in face of</w:t>
      </w:r>
      <w:r w:rsidR="005D5F50" w:rsidRPr="00E12CEA">
        <w:rPr>
          <w:rFonts w:ascii="Times New Roman" w:hAnsi="Times New Roman" w:cs="Times New Roman"/>
          <w:sz w:val="24"/>
          <w:szCs w:val="24"/>
        </w:rPr>
        <w:t xml:space="preserve"> </w:t>
      </w:r>
      <w:r w:rsidR="0041606F" w:rsidRPr="00E12CEA">
        <w:rPr>
          <w:rFonts w:ascii="Times New Roman" w:hAnsi="Times New Roman" w:cs="Times New Roman"/>
          <w:sz w:val="24"/>
          <w:szCs w:val="24"/>
        </w:rPr>
        <w:t xml:space="preserve">temporary </w:t>
      </w:r>
      <w:r w:rsidR="005D5F50" w:rsidRPr="00E12CEA">
        <w:rPr>
          <w:rFonts w:ascii="Times New Roman" w:hAnsi="Times New Roman" w:cs="Times New Roman"/>
          <w:sz w:val="24"/>
          <w:szCs w:val="24"/>
        </w:rPr>
        <w:t>e</w:t>
      </w:r>
      <w:r w:rsidR="00897F87" w:rsidRPr="00E12CEA">
        <w:rPr>
          <w:rFonts w:ascii="Times New Roman" w:hAnsi="Times New Roman" w:cs="Times New Roman"/>
          <w:sz w:val="24"/>
          <w:szCs w:val="24"/>
        </w:rPr>
        <w:t>xternal shocks</w:t>
      </w:r>
      <w:r w:rsidR="005D5F50" w:rsidRPr="00E12CEA">
        <w:rPr>
          <w:rFonts w:ascii="Times New Roman" w:hAnsi="Times New Roman" w:cs="Times New Roman"/>
          <w:sz w:val="24"/>
          <w:szCs w:val="24"/>
        </w:rPr>
        <w:t xml:space="preserve"> to avoid unnecessary negative effects on growth and poverty reduction.  The Compensatory Financing Facility (</w:t>
      </w:r>
      <w:r w:rsidR="00F97755" w:rsidRPr="00E12CEA">
        <w:rPr>
          <w:rFonts w:ascii="Times New Roman" w:hAnsi="Times New Roman" w:cs="Times New Roman"/>
          <w:sz w:val="24"/>
          <w:szCs w:val="24"/>
        </w:rPr>
        <w:t>CFF) was created in 1963,</w:t>
      </w:r>
      <w:r w:rsidR="005D5F50" w:rsidRPr="00E12CEA">
        <w:rPr>
          <w:rFonts w:ascii="Times New Roman" w:hAnsi="Times New Roman" w:cs="Times New Roman"/>
          <w:sz w:val="24"/>
          <w:szCs w:val="24"/>
        </w:rPr>
        <w:t xml:space="preserve"> as a low conditionality facility to deal with external shoc</w:t>
      </w:r>
      <w:r w:rsidR="00897F87" w:rsidRPr="00E12CEA">
        <w:rPr>
          <w:rFonts w:ascii="Times New Roman" w:hAnsi="Times New Roman" w:cs="Times New Roman"/>
          <w:sz w:val="24"/>
          <w:szCs w:val="24"/>
        </w:rPr>
        <w:t xml:space="preserve">ks relating to trade; </w:t>
      </w:r>
      <w:r w:rsidR="005D5F50" w:rsidRPr="00E12CEA">
        <w:rPr>
          <w:rFonts w:ascii="Times New Roman" w:hAnsi="Times New Roman" w:cs="Times New Roman"/>
          <w:sz w:val="24"/>
          <w:szCs w:val="24"/>
        </w:rPr>
        <w:t xml:space="preserve">a clear trend through the years was a gradual increase in </w:t>
      </w:r>
      <w:r w:rsidR="00897F87" w:rsidRPr="00E12CEA">
        <w:rPr>
          <w:rFonts w:ascii="Times New Roman" w:hAnsi="Times New Roman" w:cs="Times New Roman"/>
          <w:sz w:val="24"/>
          <w:szCs w:val="24"/>
        </w:rPr>
        <w:t xml:space="preserve">conditionality, even though </w:t>
      </w:r>
      <w:r w:rsidR="005D5F50" w:rsidRPr="00E12CEA">
        <w:rPr>
          <w:rFonts w:ascii="Times New Roman" w:hAnsi="Times New Roman" w:cs="Times New Roman"/>
          <w:sz w:val="24"/>
          <w:szCs w:val="24"/>
        </w:rPr>
        <w:t>de</w:t>
      </w:r>
      <w:r w:rsidR="0041606F" w:rsidRPr="00E12CEA">
        <w:rPr>
          <w:rFonts w:ascii="Times New Roman" w:hAnsi="Times New Roman" w:cs="Times New Roman"/>
          <w:sz w:val="24"/>
          <w:szCs w:val="24"/>
        </w:rPr>
        <w:t>veloping countries pleaded for its’ decline.</w:t>
      </w:r>
      <w:r w:rsidR="005D5F50" w:rsidRPr="00E12CEA">
        <w:rPr>
          <w:rFonts w:ascii="Times New Roman" w:hAnsi="Times New Roman" w:cs="Times New Roman"/>
          <w:sz w:val="24"/>
          <w:szCs w:val="24"/>
        </w:rPr>
        <w:t xml:space="preserve"> Since 2000, when CFF conditio</w:t>
      </w:r>
      <w:r w:rsidR="00897F87" w:rsidRPr="00E12CEA">
        <w:rPr>
          <w:rFonts w:ascii="Times New Roman" w:hAnsi="Times New Roman" w:cs="Times New Roman"/>
          <w:sz w:val="24"/>
          <w:szCs w:val="24"/>
        </w:rPr>
        <w:t xml:space="preserve">nality was raised to upper- credit tranche level, MICs </w:t>
      </w:r>
      <w:r w:rsidR="005D5F50" w:rsidRPr="00E12CEA">
        <w:rPr>
          <w:rFonts w:ascii="Times New Roman" w:hAnsi="Times New Roman" w:cs="Times New Roman"/>
          <w:sz w:val="24"/>
          <w:szCs w:val="24"/>
        </w:rPr>
        <w:t xml:space="preserve">stopped using </w:t>
      </w:r>
      <w:r w:rsidR="00897F87" w:rsidRPr="00E12CEA">
        <w:rPr>
          <w:rFonts w:ascii="Times New Roman" w:hAnsi="Times New Roman" w:cs="Times New Roman"/>
          <w:sz w:val="24"/>
          <w:szCs w:val="24"/>
        </w:rPr>
        <w:t xml:space="preserve">it. This fact was utilized incorrectly </w:t>
      </w:r>
      <w:r w:rsidR="005D5F50" w:rsidRPr="00E12CEA">
        <w:rPr>
          <w:rFonts w:ascii="Times New Roman" w:hAnsi="Times New Roman" w:cs="Times New Roman"/>
          <w:sz w:val="24"/>
          <w:szCs w:val="24"/>
        </w:rPr>
        <w:t>as an argument for abolishing</w:t>
      </w:r>
      <w:r w:rsidR="0041606F" w:rsidRPr="00E12CEA">
        <w:rPr>
          <w:rFonts w:ascii="Times New Roman" w:hAnsi="Times New Roman" w:cs="Times New Roman"/>
          <w:sz w:val="24"/>
          <w:szCs w:val="24"/>
        </w:rPr>
        <w:t xml:space="preserve"> CFF for MICs</w:t>
      </w:r>
      <w:r w:rsidR="005D5F50" w:rsidRPr="00E12CEA">
        <w:rPr>
          <w:rFonts w:ascii="Times New Roman" w:hAnsi="Times New Roman" w:cs="Times New Roman"/>
          <w:sz w:val="24"/>
          <w:szCs w:val="24"/>
        </w:rPr>
        <w:t xml:space="preserve">. </w:t>
      </w:r>
    </w:p>
    <w:p w:rsidR="00C35605" w:rsidRPr="00E12CEA" w:rsidRDefault="00C35605" w:rsidP="006005F5">
      <w:pPr>
        <w:tabs>
          <w:tab w:val="left" w:pos="567"/>
        </w:tabs>
        <w:spacing w:after="0" w:line="240" w:lineRule="auto"/>
        <w:ind w:right="-45"/>
        <w:jc w:val="both"/>
        <w:rPr>
          <w:rFonts w:ascii="Times New Roman" w:hAnsi="Times New Roman" w:cs="Times New Roman"/>
          <w:sz w:val="24"/>
          <w:szCs w:val="24"/>
        </w:rPr>
      </w:pPr>
    </w:p>
    <w:p w:rsidR="005D5F50" w:rsidRDefault="006F226E" w:rsidP="006005F5">
      <w:pPr>
        <w:tabs>
          <w:tab w:val="left" w:pos="567"/>
        </w:tabs>
        <w:autoSpaceDE w:val="0"/>
        <w:autoSpaceDN w:val="0"/>
        <w:adjustRightInd w:val="0"/>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2</w:t>
      </w:r>
      <w:r w:rsidR="00C57678">
        <w:rPr>
          <w:rFonts w:ascii="Times New Roman" w:hAnsi="Times New Roman" w:cs="Times New Roman"/>
          <w:sz w:val="24"/>
          <w:szCs w:val="24"/>
        </w:rPr>
        <w:t>7</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140832" w:rsidRPr="00E12CEA">
        <w:rPr>
          <w:rFonts w:ascii="Times New Roman" w:hAnsi="Times New Roman" w:cs="Times New Roman"/>
          <w:sz w:val="24"/>
          <w:szCs w:val="24"/>
        </w:rPr>
        <w:t xml:space="preserve"> W</w:t>
      </w:r>
      <w:r w:rsidR="005D5F50" w:rsidRPr="00E12CEA">
        <w:rPr>
          <w:rFonts w:ascii="Times New Roman" w:hAnsi="Times New Roman" w:cs="Times New Roman"/>
          <w:sz w:val="24"/>
          <w:szCs w:val="24"/>
        </w:rPr>
        <w:t>ith a small scale exception, the very small RCF</w:t>
      </w:r>
      <w:r w:rsidR="006E2189"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 all compensatory fi</w:t>
      </w:r>
      <w:r w:rsidR="00140832" w:rsidRPr="00E12CEA">
        <w:rPr>
          <w:rFonts w:ascii="Times New Roman" w:hAnsi="Times New Roman" w:cs="Times New Roman"/>
          <w:sz w:val="24"/>
          <w:szCs w:val="24"/>
        </w:rPr>
        <w:t xml:space="preserve">nancing for LICs </w:t>
      </w:r>
      <w:r w:rsidR="005D5F50" w:rsidRPr="00E12CEA">
        <w:rPr>
          <w:rFonts w:ascii="Times New Roman" w:hAnsi="Times New Roman" w:cs="Times New Roman"/>
          <w:sz w:val="24"/>
          <w:szCs w:val="24"/>
        </w:rPr>
        <w:t>beca</w:t>
      </w:r>
      <w:r w:rsidR="00140832" w:rsidRPr="00E12CEA">
        <w:rPr>
          <w:rFonts w:ascii="Times New Roman" w:hAnsi="Times New Roman" w:cs="Times New Roman"/>
          <w:sz w:val="24"/>
          <w:szCs w:val="24"/>
        </w:rPr>
        <w:t xml:space="preserve">me </w:t>
      </w:r>
      <w:r w:rsidR="005D5F50" w:rsidRPr="00E12CEA">
        <w:rPr>
          <w:rFonts w:ascii="Times New Roman" w:hAnsi="Times New Roman" w:cs="Times New Roman"/>
          <w:sz w:val="24"/>
          <w:szCs w:val="24"/>
        </w:rPr>
        <w:t>upper</w:t>
      </w:r>
      <w:r w:rsidR="00AA7FC2" w:rsidRPr="00E12CEA">
        <w:rPr>
          <w:rFonts w:ascii="Times New Roman" w:hAnsi="Times New Roman" w:cs="Times New Roman"/>
          <w:sz w:val="24"/>
          <w:szCs w:val="24"/>
        </w:rPr>
        <w:t>-</w:t>
      </w:r>
      <w:r w:rsidR="005D5F50" w:rsidRPr="00E12CEA">
        <w:rPr>
          <w:rFonts w:ascii="Times New Roman" w:hAnsi="Times New Roman" w:cs="Times New Roman"/>
          <w:sz w:val="24"/>
          <w:szCs w:val="24"/>
        </w:rPr>
        <w:t xml:space="preserve">credit tranche conditionality. </w:t>
      </w:r>
      <w:r w:rsidR="006E2189" w:rsidRPr="00E12CEA">
        <w:rPr>
          <w:rFonts w:ascii="Times New Roman" w:hAnsi="Times New Roman" w:cs="Times New Roman"/>
          <w:sz w:val="24"/>
          <w:szCs w:val="24"/>
        </w:rPr>
        <w:t>Indeed the</w:t>
      </w:r>
      <w:r w:rsidR="005D5F50" w:rsidRPr="00E12CEA">
        <w:rPr>
          <w:rFonts w:ascii="Times New Roman" w:hAnsi="Times New Roman" w:cs="Times New Roman"/>
          <w:sz w:val="24"/>
          <w:szCs w:val="24"/>
        </w:rPr>
        <w:t xml:space="preserve"> larger Stand By Credit Facility (SCF) is applicable both to countries facing external shocks as well </w:t>
      </w:r>
      <w:r w:rsidR="00B96176">
        <w:rPr>
          <w:rFonts w:ascii="Times New Roman" w:hAnsi="Times New Roman" w:cs="Times New Roman"/>
          <w:sz w:val="24"/>
          <w:szCs w:val="24"/>
        </w:rPr>
        <w:t xml:space="preserve">as </w:t>
      </w:r>
      <w:r w:rsidR="005D5F50" w:rsidRPr="00E12CEA">
        <w:rPr>
          <w:rFonts w:ascii="Times New Roman" w:hAnsi="Times New Roman" w:cs="Times New Roman"/>
          <w:sz w:val="24"/>
          <w:szCs w:val="24"/>
        </w:rPr>
        <w:t xml:space="preserve">other </w:t>
      </w:r>
      <w:r w:rsidR="00B96176">
        <w:rPr>
          <w:rFonts w:ascii="Times New Roman" w:hAnsi="Times New Roman" w:cs="Times New Roman"/>
          <w:sz w:val="24"/>
          <w:szCs w:val="24"/>
        </w:rPr>
        <w:t>B</w:t>
      </w:r>
      <w:r w:rsidR="005D5F50" w:rsidRPr="00E12CEA">
        <w:rPr>
          <w:rFonts w:ascii="Times New Roman" w:hAnsi="Times New Roman" w:cs="Times New Roman"/>
          <w:sz w:val="24"/>
          <w:szCs w:val="24"/>
        </w:rPr>
        <w:t xml:space="preserve">alance of Payments problems, </w:t>
      </w:r>
      <w:r w:rsidR="00332AC3" w:rsidRPr="00E12CEA">
        <w:rPr>
          <w:rFonts w:ascii="Times New Roman" w:hAnsi="Times New Roman" w:cs="Times New Roman"/>
          <w:sz w:val="24"/>
          <w:szCs w:val="24"/>
        </w:rPr>
        <w:t>including those caused by policy mistakes</w:t>
      </w:r>
      <w:r w:rsidR="00B96176">
        <w:rPr>
          <w:rFonts w:ascii="Times New Roman" w:hAnsi="Times New Roman" w:cs="Times New Roman"/>
          <w:sz w:val="24"/>
          <w:szCs w:val="24"/>
        </w:rPr>
        <w:t xml:space="preserve"> </w:t>
      </w:r>
      <w:r w:rsidR="005D5F50" w:rsidRPr="00E12CEA">
        <w:rPr>
          <w:rFonts w:ascii="Times New Roman" w:hAnsi="Times New Roman" w:cs="Times New Roman"/>
          <w:sz w:val="24"/>
          <w:szCs w:val="24"/>
        </w:rPr>
        <w:t>which seems conceptually incorrect; it also implies that significant shock financing requires upper credit tranche conditionality, which is both inapprop</w:t>
      </w:r>
      <w:r w:rsidR="00140832" w:rsidRPr="00E12CEA">
        <w:rPr>
          <w:rFonts w:ascii="Times New Roman" w:hAnsi="Times New Roman" w:cs="Times New Roman"/>
          <w:sz w:val="24"/>
          <w:szCs w:val="24"/>
        </w:rPr>
        <w:t>r</w:t>
      </w:r>
      <w:r w:rsidR="005D5F50" w:rsidRPr="00E12CEA">
        <w:rPr>
          <w:rFonts w:ascii="Times New Roman" w:hAnsi="Times New Roman" w:cs="Times New Roman"/>
          <w:sz w:val="24"/>
          <w:szCs w:val="24"/>
        </w:rPr>
        <w:t>iate and delays lending, making it thus less effective</w:t>
      </w:r>
      <w:r w:rsidR="00140832" w:rsidRPr="00E12CEA">
        <w:rPr>
          <w:rFonts w:ascii="Times New Roman" w:hAnsi="Times New Roman" w:cs="Times New Roman"/>
          <w:sz w:val="24"/>
          <w:szCs w:val="24"/>
        </w:rPr>
        <w:t xml:space="preserve"> for its counter-cyclical role.</w:t>
      </w:r>
      <w:r w:rsidR="005D5F50" w:rsidRPr="00E12CEA">
        <w:rPr>
          <w:rFonts w:ascii="Times New Roman" w:hAnsi="Times New Roman" w:cs="Times New Roman"/>
          <w:sz w:val="24"/>
          <w:szCs w:val="24"/>
        </w:rPr>
        <w:t xml:space="preserve"> </w:t>
      </w:r>
      <w:r w:rsidR="007C0C76" w:rsidRPr="00E12CEA">
        <w:rPr>
          <w:rFonts w:ascii="Times New Roman" w:hAnsi="Times New Roman" w:cs="Times New Roman"/>
          <w:sz w:val="24"/>
          <w:szCs w:val="24"/>
        </w:rPr>
        <w:t xml:space="preserve">As is discussed below in </w:t>
      </w:r>
      <w:r w:rsidR="00C35605">
        <w:rPr>
          <w:rFonts w:ascii="Times New Roman" w:hAnsi="Times New Roman" w:cs="Times New Roman"/>
          <w:sz w:val="24"/>
          <w:szCs w:val="24"/>
        </w:rPr>
        <w:t xml:space="preserve">examining the experience of a number of </w:t>
      </w:r>
      <w:r w:rsidR="007C0C76" w:rsidRPr="00E12CEA">
        <w:rPr>
          <w:rFonts w:ascii="Times New Roman" w:hAnsi="Times New Roman" w:cs="Times New Roman"/>
          <w:sz w:val="24"/>
          <w:szCs w:val="24"/>
        </w:rPr>
        <w:t>our Comm</w:t>
      </w:r>
      <w:r w:rsidR="002A1073" w:rsidRPr="00E12CEA">
        <w:rPr>
          <w:rFonts w:ascii="Times New Roman" w:hAnsi="Times New Roman" w:cs="Times New Roman"/>
          <w:sz w:val="24"/>
          <w:szCs w:val="24"/>
        </w:rPr>
        <w:t>onwealth countr</w:t>
      </w:r>
      <w:r w:rsidR="00C35605">
        <w:rPr>
          <w:rFonts w:ascii="Times New Roman" w:hAnsi="Times New Roman" w:cs="Times New Roman"/>
          <w:sz w:val="24"/>
          <w:szCs w:val="24"/>
        </w:rPr>
        <w:t xml:space="preserve">ies in accessing shock facilities, </w:t>
      </w:r>
      <w:r w:rsidR="002A1073" w:rsidRPr="00E12CEA">
        <w:rPr>
          <w:rFonts w:ascii="Times New Roman" w:hAnsi="Times New Roman" w:cs="Times New Roman"/>
          <w:sz w:val="24"/>
          <w:szCs w:val="24"/>
        </w:rPr>
        <w:t xml:space="preserve">- </w:t>
      </w:r>
      <w:r w:rsidR="007C0C76" w:rsidRPr="00E12CEA">
        <w:rPr>
          <w:rFonts w:ascii="Times New Roman" w:hAnsi="Times New Roman" w:cs="Times New Roman"/>
          <w:sz w:val="24"/>
          <w:szCs w:val="24"/>
        </w:rPr>
        <w:t xml:space="preserve">and </w:t>
      </w:r>
      <w:r w:rsidR="00C35605">
        <w:rPr>
          <w:rFonts w:ascii="Times New Roman" w:hAnsi="Times New Roman" w:cs="Times New Roman"/>
          <w:sz w:val="24"/>
          <w:szCs w:val="24"/>
        </w:rPr>
        <w:t xml:space="preserve">as </w:t>
      </w:r>
      <w:r w:rsidR="007C0C76" w:rsidRPr="00E12CEA">
        <w:rPr>
          <w:rFonts w:ascii="Times New Roman" w:hAnsi="Times New Roman" w:cs="Times New Roman"/>
          <w:sz w:val="24"/>
          <w:szCs w:val="24"/>
        </w:rPr>
        <w:t xml:space="preserve">can be seen in Figure </w:t>
      </w:r>
      <w:r w:rsidR="002A1073" w:rsidRPr="00E12CEA">
        <w:rPr>
          <w:rFonts w:ascii="Times New Roman" w:hAnsi="Times New Roman" w:cs="Times New Roman"/>
          <w:sz w:val="24"/>
          <w:szCs w:val="24"/>
        </w:rPr>
        <w:t>5 -</w:t>
      </w:r>
      <w:r w:rsidR="006E2189" w:rsidRPr="00E12CEA">
        <w:rPr>
          <w:rFonts w:ascii="Times New Roman" w:hAnsi="Times New Roman" w:cs="Times New Roman"/>
          <w:sz w:val="24"/>
          <w:szCs w:val="24"/>
        </w:rPr>
        <w:t xml:space="preserve"> LIC countries have </w:t>
      </w:r>
      <w:r w:rsidR="00F97755" w:rsidRPr="00E12CEA">
        <w:rPr>
          <w:rFonts w:ascii="Times New Roman" w:hAnsi="Times New Roman" w:cs="Times New Roman"/>
          <w:sz w:val="24"/>
          <w:szCs w:val="24"/>
        </w:rPr>
        <w:t xml:space="preserve">not used these </w:t>
      </w:r>
      <w:r w:rsidR="007C0C76" w:rsidRPr="00E12CEA">
        <w:rPr>
          <w:rFonts w:ascii="Times New Roman" w:hAnsi="Times New Roman" w:cs="Times New Roman"/>
          <w:sz w:val="24"/>
          <w:szCs w:val="24"/>
        </w:rPr>
        <w:t xml:space="preserve">IMF </w:t>
      </w:r>
      <w:r w:rsidR="00F97755" w:rsidRPr="00E12CEA">
        <w:rPr>
          <w:rFonts w:ascii="Times New Roman" w:hAnsi="Times New Roman" w:cs="Times New Roman"/>
          <w:sz w:val="24"/>
          <w:szCs w:val="24"/>
        </w:rPr>
        <w:t xml:space="preserve">shocks </w:t>
      </w:r>
      <w:r w:rsidR="007C0C76" w:rsidRPr="00E12CEA">
        <w:rPr>
          <w:rFonts w:ascii="Times New Roman" w:hAnsi="Times New Roman" w:cs="Times New Roman"/>
          <w:sz w:val="24"/>
          <w:szCs w:val="24"/>
        </w:rPr>
        <w:t>facilities</w:t>
      </w:r>
      <w:r w:rsidR="00AA7FC2" w:rsidRPr="00E12CEA">
        <w:rPr>
          <w:rFonts w:ascii="Times New Roman" w:hAnsi="Times New Roman" w:cs="Times New Roman"/>
          <w:sz w:val="24"/>
          <w:szCs w:val="24"/>
        </w:rPr>
        <w:t xml:space="preserve"> very much</w:t>
      </w:r>
      <w:r w:rsidR="007C0C76" w:rsidRPr="00E12CEA">
        <w:rPr>
          <w:rFonts w:ascii="Times New Roman" w:hAnsi="Times New Roman" w:cs="Times New Roman"/>
          <w:sz w:val="24"/>
          <w:szCs w:val="24"/>
        </w:rPr>
        <w:t xml:space="preserve">, and they have preferred </w:t>
      </w:r>
      <w:r w:rsidR="00C35605">
        <w:rPr>
          <w:rFonts w:ascii="Times New Roman" w:hAnsi="Times New Roman" w:cs="Times New Roman"/>
          <w:sz w:val="24"/>
          <w:szCs w:val="24"/>
        </w:rPr>
        <w:t xml:space="preserve">instead </w:t>
      </w:r>
      <w:r w:rsidR="007C0C76" w:rsidRPr="00E12CEA">
        <w:rPr>
          <w:rFonts w:ascii="Times New Roman" w:hAnsi="Times New Roman" w:cs="Times New Roman"/>
          <w:sz w:val="24"/>
          <w:szCs w:val="24"/>
        </w:rPr>
        <w:t>to use the 3 year IMF programmes</w:t>
      </w:r>
      <w:r w:rsidR="00AA7FC2" w:rsidRPr="00E12CEA">
        <w:rPr>
          <w:rFonts w:ascii="Times New Roman" w:hAnsi="Times New Roman" w:cs="Times New Roman"/>
          <w:sz w:val="24"/>
          <w:szCs w:val="24"/>
        </w:rPr>
        <w:t xml:space="preserve"> that have more r</w:t>
      </w:r>
      <w:r w:rsidR="00B743CE" w:rsidRPr="00E12CEA">
        <w:rPr>
          <w:rFonts w:ascii="Times New Roman" w:hAnsi="Times New Roman" w:cs="Times New Roman"/>
          <w:sz w:val="24"/>
          <w:szCs w:val="24"/>
        </w:rPr>
        <w:t>e</w:t>
      </w:r>
      <w:r w:rsidR="00AA7FC2" w:rsidRPr="00E12CEA">
        <w:rPr>
          <w:rFonts w:ascii="Times New Roman" w:hAnsi="Times New Roman" w:cs="Times New Roman"/>
          <w:sz w:val="24"/>
          <w:szCs w:val="24"/>
        </w:rPr>
        <w:t>sources</w:t>
      </w:r>
      <w:r w:rsidR="007C0C76"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Howev</w:t>
      </w:r>
      <w:r w:rsidR="007C0C76" w:rsidRPr="00E12CEA">
        <w:rPr>
          <w:rFonts w:ascii="Times New Roman" w:hAnsi="Times New Roman" w:cs="Times New Roman"/>
          <w:sz w:val="24"/>
          <w:szCs w:val="24"/>
        </w:rPr>
        <w:t xml:space="preserve">er, it should be said </w:t>
      </w:r>
      <w:r w:rsidR="005D5F50" w:rsidRPr="00E12CEA">
        <w:rPr>
          <w:rFonts w:ascii="Times New Roman" w:hAnsi="Times New Roman" w:cs="Times New Roman"/>
          <w:sz w:val="24"/>
          <w:szCs w:val="24"/>
        </w:rPr>
        <w:t>that the new facilities have been in existence for a short period and so a full assessment is not yet possible.</w:t>
      </w:r>
    </w:p>
    <w:p w:rsidR="00707A11" w:rsidRPr="00E12CEA" w:rsidRDefault="00707A11" w:rsidP="006005F5">
      <w:pPr>
        <w:tabs>
          <w:tab w:val="left" w:pos="567"/>
        </w:tabs>
        <w:autoSpaceDE w:val="0"/>
        <w:autoSpaceDN w:val="0"/>
        <w:adjustRightInd w:val="0"/>
        <w:spacing w:after="0" w:line="240" w:lineRule="auto"/>
        <w:ind w:right="-45"/>
        <w:jc w:val="both"/>
        <w:rPr>
          <w:rFonts w:ascii="Times New Roman" w:hAnsi="Times New Roman" w:cs="Times New Roman"/>
          <w:bCs/>
          <w:sz w:val="24"/>
          <w:szCs w:val="24"/>
        </w:rPr>
      </w:pPr>
    </w:p>
    <w:p w:rsidR="005D5F50" w:rsidRDefault="002D6F3B"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2</w:t>
      </w:r>
      <w:r w:rsidR="00C57678">
        <w:rPr>
          <w:rFonts w:ascii="Times New Roman" w:hAnsi="Times New Roman" w:cs="Times New Roman"/>
          <w:sz w:val="24"/>
          <w:szCs w:val="24"/>
        </w:rPr>
        <w:t>8</w:t>
      </w:r>
      <w:r w:rsidR="006F226E" w:rsidRPr="00E12CEA">
        <w:rPr>
          <w:rFonts w:ascii="Times New Roman" w:hAnsi="Times New Roman" w:cs="Times New Roman"/>
          <w:sz w:val="24"/>
          <w:szCs w:val="24"/>
        </w:rPr>
        <w:t>.</w:t>
      </w:r>
      <w:r w:rsidR="006F226E" w:rsidRPr="00E12CEA">
        <w:rPr>
          <w:rFonts w:ascii="Times New Roman" w:hAnsi="Times New Roman" w:cs="Times New Roman"/>
          <w:sz w:val="24"/>
          <w:szCs w:val="24"/>
        </w:rPr>
        <w:tab/>
      </w:r>
      <w:r w:rsidR="005D5F50" w:rsidRPr="00E12CEA">
        <w:rPr>
          <w:rFonts w:ascii="Times New Roman" w:hAnsi="Times New Roman" w:cs="Times New Roman"/>
          <w:sz w:val="24"/>
          <w:szCs w:val="24"/>
        </w:rPr>
        <w:t>Limiting, or practically eliminating low conditionality compensatory financing at the IMF</w:t>
      </w:r>
      <w:r w:rsidR="00C35605">
        <w:rPr>
          <w:rFonts w:ascii="Times New Roman" w:hAnsi="Times New Roman" w:cs="Times New Roman"/>
          <w:sz w:val="24"/>
          <w:szCs w:val="24"/>
        </w:rPr>
        <w:t xml:space="preserve"> </w:t>
      </w:r>
      <w:r w:rsidR="00332AC3" w:rsidRPr="00E12CEA">
        <w:rPr>
          <w:rFonts w:ascii="Times New Roman" w:hAnsi="Times New Roman" w:cs="Times New Roman"/>
          <w:sz w:val="24"/>
          <w:szCs w:val="24"/>
        </w:rPr>
        <w:t>both for LICs and MICs</w:t>
      </w:r>
      <w:r w:rsidR="00C35605">
        <w:rPr>
          <w:rFonts w:ascii="Times New Roman" w:hAnsi="Times New Roman" w:cs="Times New Roman"/>
          <w:sz w:val="24"/>
          <w:szCs w:val="24"/>
        </w:rPr>
        <w:t xml:space="preserve">, </w:t>
      </w:r>
      <w:r w:rsidR="0099357B" w:rsidRPr="00E12CEA">
        <w:rPr>
          <w:rFonts w:ascii="Times New Roman" w:hAnsi="Times New Roman" w:cs="Times New Roman"/>
          <w:sz w:val="24"/>
          <w:szCs w:val="24"/>
        </w:rPr>
        <w:t xml:space="preserve">seems particularly undesirable </w:t>
      </w:r>
      <w:r w:rsidR="005D5F50" w:rsidRPr="00E12CEA">
        <w:rPr>
          <w:rFonts w:ascii="Times New Roman" w:hAnsi="Times New Roman" w:cs="Times New Roman"/>
          <w:sz w:val="24"/>
          <w:szCs w:val="24"/>
        </w:rPr>
        <w:t>in a world where ex</w:t>
      </w:r>
      <w:r w:rsidR="00140832" w:rsidRPr="00E12CEA">
        <w:rPr>
          <w:rFonts w:ascii="Times New Roman" w:hAnsi="Times New Roman" w:cs="Times New Roman"/>
          <w:sz w:val="24"/>
          <w:szCs w:val="24"/>
        </w:rPr>
        <w:t xml:space="preserve">ternal shocks are </w:t>
      </w:r>
      <w:r w:rsidR="007C0C76" w:rsidRPr="00E12CEA">
        <w:rPr>
          <w:rFonts w:ascii="Times New Roman" w:hAnsi="Times New Roman" w:cs="Times New Roman"/>
          <w:sz w:val="24"/>
          <w:szCs w:val="24"/>
        </w:rPr>
        <w:t xml:space="preserve">far more common </w:t>
      </w:r>
      <w:r w:rsidR="005D5F50" w:rsidRPr="00E12CEA">
        <w:rPr>
          <w:rFonts w:ascii="Times New Roman" w:hAnsi="Times New Roman" w:cs="Times New Roman"/>
          <w:sz w:val="24"/>
          <w:szCs w:val="24"/>
        </w:rPr>
        <w:t>due to frequent and increasing</w:t>
      </w:r>
      <w:r w:rsidR="007C0C76" w:rsidRPr="00E12CEA">
        <w:rPr>
          <w:rFonts w:ascii="Times New Roman" w:hAnsi="Times New Roman" w:cs="Times New Roman"/>
          <w:sz w:val="24"/>
          <w:szCs w:val="24"/>
        </w:rPr>
        <w:t>ly global financial crises</w:t>
      </w:r>
      <w:r w:rsidR="00C35605">
        <w:rPr>
          <w:rFonts w:ascii="Times New Roman" w:hAnsi="Times New Roman" w:cs="Times New Roman"/>
          <w:sz w:val="24"/>
          <w:szCs w:val="24"/>
        </w:rPr>
        <w:t>.</w:t>
      </w:r>
      <w:r w:rsidR="00140832"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 xml:space="preserve">Such an evolution of the world economy would seem to require more and especially tailored compensatory financing, rather than far less and more diluted </w:t>
      </w:r>
      <w:r w:rsidR="00C35605">
        <w:rPr>
          <w:rFonts w:ascii="Times New Roman" w:hAnsi="Times New Roman" w:cs="Times New Roman"/>
          <w:sz w:val="24"/>
          <w:szCs w:val="24"/>
        </w:rPr>
        <w:t xml:space="preserve">resources, </w:t>
      </w:r>
      <w:r w:rsidR="005D5F50" w:rsidRPr="00E12CEA">
        <w:rPr>
          <w:rFonts w:ascii="Times New Roman" w:hAnsi="Times New Roman" w:cs="Times New Roman"/>
          <w:sz w:val="24"/>
          <w:szCs w:val="24"/>
        </w:rPr>
        <w:t>as seems to emerge from the evolution of IMF facilities</w:t>
      </w:r>
      <w:r w:rsidR="00332AC3" w:rsidRPr="00E12CEA">
        <w:rPr>
          <w:rFonts w:ascii="Times New Roman" w:hAnsi="Times New Roman" w:cs="Times New Roman"/>
          <w:sz w:val="24"/>
          <w:szCs w:val="24"/>
        </w:rPr>
        <w:t>, especially for terms of trade shocks</w:t>
      </w:r>
      <w:r w:rsidR="005D5F50" w:rsidRPr="00E12CEA">
        <w:rPr>
          <w:rFonts w:ascii="Times New Roman" w:hAnsi="Times New Roman" w:cs="Times New Roman"/>
          <w:sz w:val="24"/>
          <w:szCs w:val="24"/>
        </w:rPr>
        <w:t xml:space="preserve">. </w:t>
      </w:r>
      <w:r w:rsidR="00C35605">
        <w:rPr>
          <w:rFonts w:ascii="Times New Roman" w:hAnsi="Times New Roman" w:cs="Times New Roman"/>
          <w:sz w:val="24"/>
          <w:szCs w:val="24"/>
        </w:rPr>
        <w:t>In this regard, i</w:t>
      </w:r>
      <w:r w:rsidR="005D5F50" w:rsidRPr="00E12CEA">
        <w:rPr>
          <w:rFonts w:ascii="Times New Roman" w:hAnsi="Times New Roman" w:cs="Times New Roman"/>
          <w:sz w:val="24"/>
          <w:szCs w:val="24"/>
        </w:rPr>
        <w:t>t is therefore very positive that the IMF is currently reviewing its low income facilities with a view to making them more responsive to LICs’ needs, especially in the context of the continuing Eurozone crisis and slowdown of the world economy</w:t>
      </w:r>
      <w:r w:rsidR="00707A11">
        <w:rPr>
          <w:rFonts w:ascii="Times New Roman" w:hAnsi="Times New Roman" w:cs="Times New Roman"/>
          <w:sz w:val="24"/>
          <w:szCs w:val="24"/>
        </w:rPr>
        <w:t>.</w:t>
      </w:r>
    </w:p>
    <w:p w:rsidR="00707A11" w:rsidRPr="00E12CEA" w:rsidRDefault="00707A11" w:rsidP="006005F5">
      <w:pPr>
        <w:tabs>
          <w:tab w:val="left" w:pos="567"/>
        </w:tabs>
        <w:spacing w:after="0" w:line="240" w:lineRule="auto"/>
        <w:ind w:right="-45"/>
        <w:jc w:val="both"/>
        <w:rPr>
          <w:rFonts w:ascii="Times New Roman" w:hAnsi="Times New Roman" w:cs="Times New Roman"/>
          <w:sz w:val="24"/>
          <w:szCs w:val="24"/>
        </w:rPr>
      </w:pPr>
    </w:p>
    <w:p w:rsidR="005D5F50"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29</w:t>
      </w:r>
      <w:r w:rsidR="006F226E" w:rsidRPr="00E12CEA">
        <w:rPr>
          <w:rFonts w:ascii="Times New Roman" w:hAnsi="Times New Roman" w:cs="Times New Roman"/>
          <w:sz w:val="24"/>
          <w:szCs w:val="24"/>
        </w:rPr>
        <w:t>.</w:t>
      </w:r>
      <w:r w:rsidR="006F226E" w:rsidRPr="00E12CEA">
        <w:rPr>
          <w:rFonts w:ascii="Times New Roman" w:hAnsi="Times New Roman" w:cs="Times New Roman"/>
          <w:sz w:val="24"/>
          <w:szCs w:val="24"/>
        </w:rPr>
        <w:tab/>
      </w:r>
      <w:r w:rsidR="00140832" w:rsidRPr="00E12CEA">
        <w:rPr>
          <w:rFonts w:ascii="Times New Roman" w:hAnsi="Times New Roman" w:cs="Times New Roman"/>
          <w:sz w:val="24"/>
          <w:szCs w:val="24"/>
        </w:rPr>
        <w:t xml:space="preserve"> </w:t>
      </w:r>
      <w:r w:rsidR="005D5F50" w:rsidRPr="00E12CEA">
        <w:rPr>
          <w:rFonts w:ascii="Times New Roman" w:hAnsi="Times New Roman" w:cs="Times New Roman"/>
          <w:sz w:val="24"/>
          <w:szCs w:val="24"/>
        </w:rPr>
        <w:t xml:space="preserve">Furthermore, IMF </w:t>
      </w:r>
      <w:r w:rsidR="00C35605">
        <w:rPr>
          <w:rFonts w:ascii="Times New Roman" w:hAnsi="Times New Roman" w:cs="Times New Roman"/>
          <w:sz w:val="24"/>
          <w:szCs w:val="24"/>
        </w:rPr>
        <w:t xml:space="preserve">reforms of </w:t>
      </w:r>
      <w:r w:rsidR="005D5F50" w:rsidRPr="00E12CEA">
        <w:rPr>
          <w:rFonts w:ascii="Times New Roman" w:hAnsi="Times New Roman" w:cs="Times New Roman"/>
          <w:sz w:val="24"/>
          <w:szCs w:val="24"/>
        </w:rPr>
        <w:t xml:space="preserve">compensatory financing are </w:t>
      </w:r>
      <w:r w:rsidR="007C0C76" w:rsidRPr="00E12CEA">
        <w:rPr>
          <w:rFonts w:ascii="Times New Roman" w:hAnsi="Times New Roman" w:cs="Times New Roman"/>
          <w:sz w:val="24"/>
          <w:szCs w:val="24"/>
        </w:rPr>
        <w:t>in contrast with</w:t>
      </w:r>
      <w:r w:rsidR="005D5F50" w:rsidRPr="00E12CEA">
        <w:rPr>
          <w:rFonts w:ascii="Times New Roman" w:hAnsi="Times New Roman" w:cs="Times New Roman"/>
          <w:sz w:val="24"/>
          <w:szCs w:val="24"/>
        </w:rPr>
        <w:t xml:space="preserve"> overall positive trends, of lightening of structural conditionality at</w:t>
      </w:r>
      <w:r w:rsidR="00AA7FC2" w:rsidRPr="00E12CEA">
        <w:rPr>
          <w:rFonts w:ascii="Times New Roman" w:hAnsi="Times New Roman" w:cs="Times New Roman"/>
          <w:sz w:val="24"/>
          <w:szCs w:val="24"/>
        </w:rPr>
        <w:t xml:space="preserve"> the IMF</w:t>
      </w:r>
      <w:r w:rsidR="005D5F50" w:rsidRPr="00E12CEA">
        <w:rPr>
          <w:rFonts w:ascii="Times New Roman" w:hAnsi="Times New Roman" w:cs="Times New Roman"/>
          <w:sz w:val="24"/>
          <w:szCs w:val="24"/>
        </w:rPr>
        <w:t>, reflected in the fact that in March 2009, the link between disbursements of IMF loans and perfor</w:t>
      </w:r>
      <w:r w:rsidR="00140832" w:rsidRPr="00E12CEA">
        <w:rPr>
          <w:rFonts w:ascii="Times New Roman" w:hAnsi="Times New Roman" w:cs="Times New Roman"/>
          <w:sz w:val="24"/>
          <w:szCs w:val="24"/>
        </w:rPr>
        <w:t xml:space="preserve">mance on structural conditions </w:t>
      </w:r>
      <w:r w:rsidR="0099357B" w:rsidRPr="00E12CEA">
        <w:rPr>
          <w:rFonts w:ascii="Times New Roman" w:hAnsi="Times New Roman" w:cs="Times New Roman"/>
          <w:sz w:val="24"/>
          <w:szCs w:val="24"/>
        </w:rPr>
        <w:t xml:space="preserve">was eliminated; </w:t>
      </w:r>
      <w:r w:rsidR="00C35605">
        <w:rPr>
          <w:rFonts w:ascii="Times New Roman" w:hAnsi="Times New Roman" w:cs="Times New Roman"/>
          <w:sz w:val="24"/>
          <w:szCs w:val="24"/>
        </w:rPr>
        <w:t xml:space="preserve">and </w:t>
      </w:r>
      <w:r w:rsidR="006E2189" w:rsidRPr="00E12CEA">
        <w:rPr>
          <w:rFonts w:ascii="Times New Roman" w:hAnsi="Times New Roman" w:cs="Times New Roman"/>
          <w:sz w:val="24"/>
          <w:szCs w:val="24"/>
        </w:rPr>
        <w:t>the</w:t>
      </w:r>
      <w:r w:rsidR="005D5F50" w:rsidRPr="00E12CEA">
        <w:rPr>
          <w:rFonts w:ascii="Times New Roman" w:hAnsi="Times New Roman" w:cs="Times New Roman"/>
          <w:sz w:val="24"/>
          <w:szCs w:val="24"/>
        </w:rPr>
        <w:t xml:space="preserve"> somewhat greater emphasis on more counter-cyclical macroeconomic policies in the light of the crisis, within IMF </w:t>
      </w:r>
      <w:r w:rsidR="007C0C76" w:rsidRPr="00E12CEA">
        <w:rPr>
          <w:rFonts w:ascii="Times New Roman" w:hAnsi="Times New Roman" w:cs="Times New Roman"/>
          <w:sz w:val="24"/>
          <w:szCs w:val="24"/>
        </w:rPr>
        <w:t xml:space="preserve">country </w:t>
      </w:r>
      <w:r w:rsidR="005D5F50" w:rsidRPr="00E12CEA">
        <w:rPr>
          <w:rFonts w:ascii="Times New Roman" w:hAnsi="Times New Roman" w:cs="Times New Roman"/>
          <w:sz w:val="24"/>
          <w:szCs w:val="24"/>
        </w:rPr>
        <w:t>programmes.</w:t>
      </w:r>
      <w:r w:rsidR="001C0BB1" w:rsidRPr="00E12CEA">
        <w:rPr>
          <w:rFonts w:ascii="Times New Roman" w:hAnsi="Times New Roman" w:cs="Times New Roman"/>
          <w:sz w:val="24"/>
          <w:szCs w:val="24"/>
        </w:rPr>
        <w:t xml:space="preserve"> Greater commitments of IMF lending in general during periods of shocks is also </w:t>
      </w:r>
      <w:r w:rsidR="00332AC3" w:rsidRPr="00E12CEA">
        <w:rPr>
          <w:rFonts w:ascii="Times New Roman" w:hAnsi="Times New Roman" w:cs="Times New Roman"/>
          <w:sz w:val="24"/>
          <w:szCs w:val="24"/>
        </w:rPr>
        <w:t xml:space="preserve"> very </w:t>
      </w:r>
      <w:r w:rsidR="001C0BB1" w:rsidRPr="00E12CEA">
        <w:rPr>
          <w:rFonts w:ascii="Times New Roman" w:hAnsi="Times New Roman" w:cs="Times New Roman"/>
          <w:sz w:val="24"/>
          <w:szCs w:val="24"/>
        </w:rPr>
        <w:t xml:space="preserve">useful, even if it is not </w:t>
      </w:r>
      <w:r w:rsidR="00751CA4" w:rsidRPr="00E12CEA">
        <w:rPr>
          <w:rFonts w:ascii="Times New Roman" w:hAnsi="Times New Roman" w:cs="Times New Roman"/>
          <w:sz w:val="24"/>
          <w:szCs w:val="24"/>
        </w:rPr>
        <w:t>channelled</w:t>
      </w:r>
      <w:r w:rsidR="001C0BB1" w:rsidRPr="00E12CEA">
        <w:rPr>
          <w:rFonts w:ascii="Times New Roman" w:hAnsi="Times New Roman" w:cs="Times New Roman"/>
          <w:sz w:val="24"/>
          <w:szCs w:val="24"/>
        </w:rPr>
        <w:t xml:space="preserve"> through shocks facilities, though it would be more appropriate if it were </w:t>
      </w:r>
      <w:r w:rsidR="00751CA4" w:rsidRPr="00E12CEA">
        <w:rPr>
          <w:rFonts w:ascii="Times New Roman" w:hAnsi="Times New Roman" w:cs="Times New Roman"/>
          <w:sz w:val="24"/>
          <w:szCs w:val="24"/>
        </w:rPr>
        <w:t>channelled</w:t>
      </w:r>
      <w:r w:rsidR="001C0BB1" w:rsidRPr="00E12CEA">
        <w:rPr>
          <w:rFonts w:ascii="Times New Roman" w:hAnsi="Times New Roman" w:cs="Times New Roman"/>
          <w:sz w:val="24"/>
          <w:szCs w:val="24"/>
        </w:rPr>
        <w:t xml:space="preserve"> through them.</w:t>
      </w:r>
      <w:r w:rsidR="00332AC3" w:rsidRPr="00E12CEA">
        <w:rPr>
          <w:rFonts w:ascii="Times New Roman" w:hAnsi="Times New Roman" w:cs="Times New Roman"/>
          <w:sz w:val="24"/>
          <w:szCs w:val="24"/>
        </w:rPr>
        <w:t xml:space="preserve"> The latter is an issue that would be worth studying in the </w:t>
      </w:r>
      <w:r w:rsidR="002F35BD" w:rsidRPr="00E12CEA">
        <w:rPr>
          <w:rFonts w:ascii="Times New Roman" w:hAnsi="Times New Roman" w:cs="Times New Roman"/>
          <w:sz w:val="24"/>
          <w:szCs w:val="24"/>
        </w:rPr>
        <w:t>on-going</w:t>
      </w:r>
      <w:r w:rsidR="00332AC3" w:rsidRPr="00E12CEA">
        <w:rPr>
          <w:rFonts w:ascii="Times New Roman" w:hAnsi="Times New Roman" w:cs="Times New Roman"/>
          <w:sz w:val="24"/>
          <w:szCs w:val="24"/>
        </w:rPr>
        <w:t xml:space="preserve"> reform of IMF facilities.</w:t>
      </w:r>
    </w:p>
    <w:p w:rsidR="00707A11" w:rsidRPr="00E12CEA" w:rsidRDefault="00707A11" w:rsidP="006005F5">
      <w:pPr>
        <w:tabs>
          <w:tab w:val="left" w:pos="567"/>
        </w:tabs>
        <w:spacing w:after="0" w:line="240" w:lineRule="auto"/>
        <w:ind w:right="-45"/>
        <w:jc w:val="both"/>
        <w:rPr>
          <w:rFonts w:ascii="Times New Roman" w:hAnsi="Times New Roman" w:cs="Times New Roman"/>
          <w:sz w:val="24"/>
          <w:szCs w:val="24"/>
        </w:rPr>
      </w:pPr>
    </w:p>
    <w:p w:rsidR="00AA7FC2" w:rsidRDefault="006F226E" w:rsidP="006005F5">
      <w:pPr>
        <w:tabs>
          <w:tab w:val="left" w:pos="567"/>
        </w:tabs>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3</w:t>
      </w:r>
      <w:r w:rsidR="00C57678">
        <w:rPr>
          <w:rFonts w:ascii="Times New Roman" w:hAnsi="Times New Roman" w:cs="Times New Roman"/>
          <w:sz w:val="24"/>
          <w:szCs w:val="24"/>
        </w:rPr>
        <w:t>0</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5D5F50" w:rsidRPr="00E12CEA">
        <w:rPr>
          <w:rFonts w:ascii="Times New Roman" w:hAnsi="Times New Roman" w:cs="Times New Roman"/>
          <w:sz w:val="24"/>
          <w:szCs w:val="24"/>
        </w:rPr>
        <w:t>The use of the LICs IMF</w:t>
      </w:r>
      <w:r w:rsidR="00332AC3" w:rsidRPr="00E12CEA">
        <w:rPr>
          <w:rFonts w:ascii="Times New Roman" w:hAnsi="Times New Roman" w:cs="Times New Roman"/>
          <w:sz w:val="24"/>
          <w:szCs w:val="24"/>
        </w:rPr>
        <w:t xml:space="preserve"> shock</w:t>
      </w:r>
      <w:r w:rsidR="00036CF2" w:rsidRPr="00E12CEA">
        <w:rPr>
          <w:rFonts w:ascii="Times New Roman" w:hAnsi="Times New Roman" w:cs="Times New Roman"/>
          <w:sz w:val="24"/>
          <w:szCs w:val="24"/>
        </w:rPr>
        <w:t xml:space="preserve"> </w:t>
      </w:r>
      <w:r w:rsidR="00AA7FC2" w:rsidRPr="00E12CEA">
        <w:rPr>
          <w:rFonts w:ascii="Times New Roman" w:hAnsi="Times New Roman" w:cs="Times New Roman"/>
          <w:sz w:val="24"/>
          <w:szCs w:val="24"/>
        </w:rPr>
        <w:t>facilities, RCF and SCF</w:t>
      </w:r>
      <w:r w:rsidR="005D5F50" w:rsidRPr="00E12CEA">
        <w:rPr>
          <w:rFonts w:ascii="Times New Roman" w:hAnsi="Times New Roman" w:cs="Times New Roman"/>
          <w:sz w:val="24"/>
          <w:szCs w:val="24"/>
        </w:rPr>
        <w:t xml:space="preserve">, since their launch in 2010 </w:t>
      </w:r>
      <w:r w:rsidR="00C35605">
        <w:rPr>
          <w:rFonts w:ascii="Times New Roman" w:hAnsi="Times New Roman" w:cs="Times New Roman"/>
          <w:sz w:val="24"/>
          <w:szCs w:val="24"/>
        </w:rPr>
        <w:t xml:space="preserve">until </w:t>
      </w:r>
      <w:r w:rsidR="00AA7FC2" w:rsidRPr="00E12CEA">
        <w:rPr>
          <w:rFonts w:ascii="Times New Roman" w:hAnsi="Times New Roman" w:cs="Times New Roman"/>
          <w:sz w:val="24"/>
          <w:szCs w:val="24"/>
        </w:rPr>
        <w:t>end</w:t>
      </w:r>
      <w:r w:rsidR="00C35605">
        <w:rPr>
          <w:rFonts w:ascii="Times New Roman" w:hAnsi="Times New Roman" w:cs="Times New Roman"/>
          <w:sz w:val="24"/>
          <w:szCs w:val="24"/>
        </w:rPr>
        <w:t>-</w:t>
      </w:r>
      <w:r w:rsidR="00AA7FC2" w:rsidRPr="00E12CEA">
        <w:rPr>
          <w:rFonts w:ascii="Times New Roman" w:hAnsi="Times New Roman" w:cs="Times New Roman"/>
          <w:sz w:val="24"/>
          <w:szCs w:val="24"/>
        </w:rPr>
        <w:t xml:space="preserve">2011 </w:t>
      </w:r>
      <w:r w:rsidR="005D5F50" w:rsidRPr="00E12CEA">
        <w:rPr>
          <w:rFonts w:ascii="Times New Roman" w:hAnsi="Times New Roman" w:cs="Times New Roman"/>
          <w:sz w:val="24"/>
          <w:szCs w:val="24"/>
        </w:rPr>
        <w:t>has</w:t>
      </w:r>
      <w:r w:rsidR="00AA7FC2" w:rsidRPr="00E12CEA">
        <w:rPr>
          <w:rFonts w:ascii="Times New Roman" w:hAnsi="Times New Roman" w:cs="Times New Roman"/>
          <w:sz w:val="24"/>
          <w:szCs w:val="24"/>
        </w:rPr>
        <w:t xml:space="preserve"> been fairly </w:t>
      </w:r>
      <w:r w:rsidR="00F97755" w:rsidRPr="00E12CEA">
        <w:rPr>
          <w:rFonts w:ascii="Times New Roman" w:hAnsi="Times New Roman" w:cs="Times New Roman"/>
          <w:sz w:val="24"/>
          <w:szCs w:val="24"/>
        </w:rPr>
        <w:t>limited (see Figure 7</w:t>
      </w:r>
      <w:r w:rsidR="00AA7FC2" w:rsidRPr="00E12CEA">
        <w:rPr>
          <w:rFonts w:ascii="Times New Roman" w:hAnsi="Times New Roman" w:cs="Times New Roman"/>
          <w:sz w:val="24"/>
          <w:szCs w:val="24"/>
        </w:rPr>
        <w:t xml:space="preserve"> below</w:t>
      </w:r>
      <w:r w:rsidR="005D5F50" w:rsidRPr="00E12CEA">
        <w:rPr>
          <w:rFonts w:ascii="Times New Roman" w:hAnsi="Times New Roman" w:cs="Times New Roman"/>
          <w:sz w:val="24"/>
          <w:szCs w:val="24"/>
        </w:rPr>
        <w:t xml:space="preserve">).  Only $88 million has been committed under the RCF to </w:t>
      </w:r>
      <w:r w:rsidR="00C35605">
        <w:rPr>
          <w:rFonts w:ascii="Times New Roman" w:hAnsi="Times New Roman" w:cs="Times New Roman"/>
          <w:sz w:val="24"/>
          <w:szCs w:val="24"/>
        </w:rPr>
        <w:t xml:space="preserve">four </w:t>
      </w:r>
      <w:r w:rsidR="005D5F50" w:rsidRPr="00E12CEA">
        <w:rPr>
          <w:rFonts w:ascii="Times New Roman" w:hAnsi="Times New Roman" w:cs="Times New Roman"/>
          <w:sz w:val="24"/>
          <w:szCs w:val="24"/>
        </w:rPr>
        <w:t xml:space="preserve">countries (St. Lucia, St. Vincent and the Grenadines, Kyrgyz Republic and Nepal), and $117 million under the SCF to </w:t>
      </w:r>
      <w:r w:rsidR="00C35605">
        <w:rPr>
          <w:rFonts w:ascii="Times New Roman" w:hAnsi="Times New Roman" w:cs="Times New Roman"/>
          <w:sz w:val="24"/>
          <w:szCs w:val="24"/>
        </w:rPr>
        <w:t xml:space="preserve">two </w:t>
      </w:r>
      <w:r w:rsidR="005D5F50" w:rsidRPr="00E12CEA">
        <w:rPr>
          <w:rFonts w:ascii="Times New Roman" w:hAnsi="Times New Roman" w:cs="Times New Roman"/>
          <w:sz w:val="24"/>
          <w:szCs w:val="24"/>
        </w:rPr>
        <w:t xml:space="preserve">countries (Solomon Islands and Honduras). </w:t>
      </w:r>
    </w:p>
    <w:p w:rsidR="00707A11" w:rsidRPr="00E12CEA" w:rsidRDefault="00707A11" w:rsidP="006005F5">
      <w:pPr>
        <w:tabs>
          <w:tab w:val="left" w:pos="567"/>
        </w:tabs>
        <w:spacing w:after="0" w:line="240" w:lineRule="auto"/>
        <w:ind w:right="-45"/>
        <w:jc w:val="both"/>
        <w:rPr>
          <w:rFonts w:ascii="Times New Roman" w:hAnsi="Times New Roman" w:cs="Times New Roman"/>
          <w:sz w:val="24"/>
          <w:szCs w:val="24"/>
        </w:rPr>
      </w:pPr>
    </w:p>
    <w:p w:rsidR="0084147B" w:rsidRDefault="0084147B">
      <w:pPr>
        <w:rPr>
          <w:rFonts w:ascii="Times New Roman" w:hAnsi="Times New Roman" w:cs="Times New Roman"/>
          <w:sz w:val="24"/>
          <w:szCs w:val="24"/>
        </w:rPr>
      </w:pPr>
      <w:r>
        <w:rPr>
          <w:rFonts w:ascii="Times New Roman" w:hAnsi="Times New Roman" w:cs="Times New Roman"/>
          <w:sz w:val="24"/>
          <w:szCs w:val="24"/>
        </w:rPr>
        <w:br w:type="page"/>
      </w:r>
    </w:p>
    <w:p w:rsidR="005D5F50" w:rsidRDefault="006F226E" w:rsidP="006005F5">
      <w:pPr>
        <w:tabs>
          <w:tab w:val="left" w:pos="567"/>
        </w:tabs>
        <w:autoSpaceDE w:val="0"/>
        <w:autoSpaceDN w:val="0"/>
        <w:adjustRightInd w:val="0"/>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lastRenderedPageBreak/>
        <w:t>3</w:t>
      </w:r>
      <w:r w:rsidR="00C57678">
        <w:rPr>
          <w:rFonts w:ascii="Times New Roman" w:hAnsi="Times New Roman" w:cs="Times New Roman"/>
          <w:sz w:val="24"/>
          <w:szCs w:val="24"/>
        </w:rPr>
        <w:t>1</w:t>
      </w:r>
      <w:r w:rsidRPr="00E12CEA">
        <w:rPr>
          <w:rFonts w:ascii="Times New Roman" w:hAnsi="Times New Roman" w:cs="Times New Roman"/>
          <w:sz w:val="24"/>
          <w:szCs w:val="24"/>
        </w:rPr>
        <w:t>.</w:t>
      </w:r>
      <w:r w:rsidRPr="00E12CEA">
        <w:rPr>
          <w:rFonts w:ascii="Times New Roman" w:hAnsi="Times New Roman" w:cs="Times New Roman"/>
          <w:sz w:val="24"/>
          <w:szCs w:val="24"/>
        </w:rPr>
        <w:tab/>
      </w:r>
      <w:r w:rsidR="002D6F3B">
        <w:rPr>
          <w:rFonts w:ascii="Times New Roman" w:hAnsi="Times New Roman" w:cs="Times New Roman"/>
          <w:sz w:val="24"/>
          <w:szCs w:val="24"/>
        </w:rPr>
        <w:t xml:space="preserve">The </w:t>
      </w:r>
      <w:r w:rsidR="0023606C" w:rsidRPr="00E12CEA">
        <w:rPr>
          <w:rFonts w:ascii="Times New Roman" w:hAnsi="Times New Roman" w:cs="Times New Roman"/>
          <w:sz w:val="24"/>
          <w:szCs w:val="24"/>
        </w:rPr>
        <w:t xml:space="preserve">IMF is currently engaged in a </w:t>
      </w:r>
      <w:r w:rsidR="005D5F50" w:rsidRPr="00E12CEA">
        <w:rPr>
          <w:rFonts w:ascii="Times New Roman" w:hAnsi="Times New Roman" w:cs="Times New Roman"/>
          <w:sz w:val="24"/>
          <w:szCs w:val="24"/>
        </w:rPr>
        <w:t>review</w:t>
      </w:r>
      <w:r w:rsidR="005D5F50" w:rsidRPr="00E12CEA">
        <w:rPr>
          <w:rFonts w:ascii="Times New Roman" w:hAnsi="Times New Roman" w:cs="Times New Roman"/>
          <w:b/>
          <w:bCs/>
          <w:sz w:val="24"/>
          <w:szCs w:val="24"/>
        </w:rPr>
        <w:t xml:space="preserve"> of IMF facilit</w:t>
      </w:r>
      <w:r w:rsidR="0023606C" w:rsidRPr="00E12CEA">
        <w:rPr>
          <w:rFonts w:ascii="Times New Roman" w:hAnsi="Times New Roman" w:cs="Times New Roman"/>
          <w:b/>
          <w:bCs/>
          <w:sz w:val="24"/>
          <w:szCs w:val="24"/>
        </w:rPr>
        <w:t>ies for LICs</w:t>
      </w:r>
      <w:r w:rsidR="002D6F3B">
        <w:rPr>
          <w:rFonts w:ascii="Times New Roman" w:hAnsi="Times New Roman" w:cs="Times New Roman"/>
          <w:b/>
          <w:bCs/>
          <w:sz w:val="24"/>
          <w:szCs w:val="24"/>
        </w:rPr>
        <w:t>.</w:t>
      </w:r>
      <w:r w:rsidR="005D5F50" w:rsidRPr="00E12CEA">
        <w:rPr>
          <w:rFonts w:ascii="Times New Roman" w:hAnsi="Times New Roman" w:cs="Times New Roman"/>
          <w:b/>
          <w:bCs/>
          <w:sz w:val="24"/>
          <w:szCs w:val="24"/>
        </w:rPr>
        <w:t xml:space="preserve"> </w:t>
      </w:r>
      <w:r w:rsidR="002D6F3B">
        <w:rPr>
          <w:rFonts w:ascii="Times New Roman" w:hAnsi="Times New Roman" w:cs="Times New Roman"/>
          <w:bCs/>
          <w:sz w:val="24"/>
          <w:szCs w:val="24"/>
        </w:rPr>
        <w:t xml:space="preserve">An </w:t>
      </w:r>
      <w:r w:rsidR="005D5F50" w:rsidRPr="00E12CEA">
        <w:rPr>
          <w:rFonts w:ascii="Times New Roman" w:hAnsi="Times New Roman" w:cs="Times New Roman"/>
          <w:bCs/>
          <w:sz w:val="24"/>
          <w:szCs w:val="24"/>
        </w:rPr>
        <w:t xml:space="preserve">initial paper </w:t>
      </w:r>
      <w:r w:rsidR="006B2023" w:rsidRPr="00E12CEA">
        <w:rPr>
          <w:rFonts w:ascii="Times New Roman" w:hAnsi="Times New Roman" w:cs="Times New Roman"/>
          <w:bCs/>
          <w:sz w:val="24"/>
          <w:szCs w:val="24"/>
        </w:rPr>
        <w:t xml:space="preserve">is expected </w:t>
      </w:r>
      <w:r w:rsidR="002D6F3B">
        <w:rPr>
          <w:rFonts w:ascii="Times New Roman" w:hAnsi="Times New Roman" w:cs="Times New Roman"/>
          <w:bCs/>
          <w:sz w:val="24"/>
          <w:szCs w:val="24"/>
        </w:rPr>
        <w:t>shortly before the 2012 Bank/Fund Annual Meetings. A</w:t>
      </w:r>
      <w:r w:rsidR="005D5F50" w:rsidRPr="00E12CEA">
        <w:rPr>
          <w:rFonts w:ascii="Times New Roman" w:hAnsi="Times New Roman" w:cs="Times New Roman"/>
          <w:bCs/>
          <w:sz w:val="24"/>
          <w:szCs w:val="24"/>
        </w:rPr>
        <w:t xml:space="preserve">fter consulting </w:t>
      </w:r>
      <w:r w:rsidR="006E2189" w:rsidRPr="00E12CEA">
        <w:rPr>
          <w:rFonts w:ascii="Times New Roman" w:hAnsi="Times New Roman" w:cs="Times New Roman"/>
          <w:bCs/>
          <w:sz w:val="24"/>
          <w:szCs w:val="24"/>
        </w:rPr>
        <w:t>with member countries</w:t>
      </w:r>
      <w:r w:rsidR="005D5F50" w:rsidRPr="00E12CEA">
        <w:rPr>
          <w:rFonts w:ascii="Times New Roman" w:hAnsi="Times New Roman" w:cs="Times New Roman"/>
          <w:bCs/>
          <w:sz w:val="24"/>
          <w:szCs w:val="24"/>
        </w:rPr>
        <w:t>, the IMF is planning to finalize this review by March 2013</w:t>
      </w:r>
      <w:r w:rsidR="00FF2013" w:rsidRPr="00E12CEA">
        <w:rPr>
          <w:rFonts w:ascii="Times New Roman" w:hAnsi="Times New Roman" w:cs="Times New Roman"/>
          <w:b/>
          <w:bCs/>
          <w:sz w:val="24"/>
          <w:szCs w:val="24"/>
        </w:rPr>
        <w:t>.</w:t>
      </w:r>
      <w:r w:rsidR="00FF2013">
        <w:rPr>
          <w:rFonts w:ascii="Times New Roman" w:hAnsi="Times New Roman" w:cs="Times New Roman"/>
          <w:b/>
          <w:bCs/>
          <w:sz w:val="24"/>
          <w:szCs w:val="24"/>
        </w:rPr>
        <w:t xml:space="preserve"> </w:t>
      </w:r>
      <w:r w:rsidR="005D5F50" w:rsidRPr="00E12CEA">
        <w:rPr>
          <w:rFonts w:ascii="Times New Roman" w:hAnsi="Times New Roman" w:cs="Times New Roman"/>
          <w:sz w:val="24"/>
          <w:szCs w:val="24"/>
        </w:rPr>
        <w:t>It would seem desirable to include the following issues in this review</w:t>
      </w:r>
      <w:r w:rsidR="002A1073" w:rsidRPr="00E12CEA">
        <w:rPr>
          <w:rFonts w:ascii="Times New Roman" w:hAnsi="Times New Roman" w:cs="Times New Roman"/>
          <w:sz w:val="24"/>
          <w:szCs w:val="24"/>
        </w:rPr>
        <w:t>:</w:t>
      </w:r>
    </w:p>
    <w:p w:rsidR="00707A11" w:rsidRDefault="00707A11" w:rsidP="006005F5">
      <w:pPr>
        <w:tabs>
          <w:tab w:val="left" w:pos="567"/>
        </w:tabs>
        <w:autoSpaceDE w:val="0"/>
        <w:autoSpaceDN w:val="0"/>
        <w:adjustRightInd w:val="0"/>
        <w:spacing w:after="0" w:line="240" w:lineRule="auto"/>
        <w:ind w:right="-45"/>
        <w:jc w:val="both"/>
        <w:rPr>
          <w:rFonts w:ascii="Times New Roman" w:hAnsi="Times New Roman" w:cs="Times New Roman"/>
          <w:sz w:val="24"/>
          <w:szCs w:val="24"/>
        </w:rPr>
      </w:pPr>
    </w:p>
    <w:p w:rsidR="00397D23" w:rsidRDefault="00397D23" w:rsidP="006005F5">
      <w:pPr>
        <w:tabs>
          <w:tab w:val="left" w:pos="567"/>
        </w:tabs>
        <w:autoSpaceDE w:val="0"/>
        <w:autoSpaceDN w:val="0"/>
        <w:adjustRightInd w:val="0"/>
        <w:spacing w:after="0" w:line="240" w:lineRule="auto"/>
        <w:ind w:right="-45"/>
        <w:jc w:val="both"/>
        <w:rPr>
          <w:rFonts w:ascii="Times New Roman" w:hAnsi="Times New Roman" w:cs="Times New Roman"/>
          <w:sz w:val="24"/>
          <w:szCs w:val="24"/>
        </w:rPr>
      </w:pPr>
    </w:p>
    <w:p w:rsidR="005D5F50" w:rsidRPr="00B04A17" w:rsidRDefault="005D5F50" w:rsidP="006005F5">
      <w:pPr>
        <w:pStyle w:val="ListParagraph"/>
        <w:numPr>
          <w:ilvl w:val="0"/>
          <w:numId w:val="26"/>
        </w:numPr>
        <w:spacing w:after="0" w:line="240" w:lineRule="auto"/>
        <w:ind w:left="851" w:right="-45" w:hanging="284"/>
        <w:jc w:val="both"/>
        <w:rPr>
          <w:rFonts w:ascii="Times New Roman" w:hAnsi="Times New Roman" w:cs="Times New Roman"/>
          <w:sz w:val="24"/>
          <w:szCs w:val="24"/>
        </w:rPr>
      </w:pPr>
      <w:r w:rsidRPr="00E71614">
        <w:rPr>
          <w:rFonts w:ascii="Times New Roman" w:hAnsi="Times New Roman" w:cs="Times New Roman"/>
          <w:b/>
          <w:bCs/>
          <w:iCs/>
          <w:sz w:val="24"/>
          <w:szCs w:val="24"/>
        </w:rPr>
        <w:t>Enhancing the predictability of shock financing</w:t>
      </w:r>
      <w:r w:rsidRPr="00B04A17">
        <w:rPr>
          <w:rFonts w:ascii="Times New Roman" w:hAnsi="Times New Roman" w:cs="Times New Roman"/>
          <w:i/>
          <w:iCs/>
          <w:sz w:val="24"/>
          <w:szCs w:val="24"/>
        </w:rPr>
        <w:t xml:space="preserve">, </w:t>
      </w:r>
      <w:r w:rsidRPr="00B04A17">
        <w:rPr>
          <w:rFonts w:ascii="Times New Roman" w:hAnsi="Times New Roman" w:cs="Times New Roman"/>
          <w:sz w:val="24"/>
          <w:szCs w:val="24"/>
        </w:rPr>
        <w:t>for ins</w:t>
      </w:r>
      <w:r w:rsidR="003D2D1B" w:rsidRPr="00B04A17">
        <w:rPr>
          <w:rFonts w:ascii="Times New Roman" w:hAnsi="Times New Roman" w:cs="Times New Roman"/>
          <w:sz w:val="24"/>
          <w:szCs w:val="24"/>
        </w:rPr>
        <w:t xml:space="preserve">tance by broadening options for </w:t>
      </w:r>
      <w:r w:rsidRPr="00B04A17">
        <w:rPr>
          <w:rFonts w:ascii="Times New Roman" w:hAnsi="Times New Roman" w:cs="Times New Roman"/>
          <w:sz w:val="24"/>
          <w:szCs w:val="24"/>
        </w:rPr>
        <w:t xml:space="preserve">contingent support, including making access to </w:t>
      </w:r>
      <w:r w:rsidR="00140832" w:rsidRPr="00B04A17">
        <w:rPr>
          <w:rFonts w:ascii="Times New Roman" w:hAnsi="Times New Roman" w:cs="Times New Roman"/>
          <w:sz w:val="24"/>
          <w:szCs w:val="24"/>
        </w:rPr>
        <w:t xml:space="preserve">Fund resources automatic under </w:t>
      </w:r>
      <w:r w:rsidRPr="00B04A17">
        <w:rPr>
          <w:rFonts w:ascii="Times New Roman" w:hAnsi="Times New Roman" w:cs="Times New Roman"/>
          <w:sz w:val="24"/>
          <w:szCs w:val="24"/>
        </w:rPr>
        <w:t>certain circumstances. For example ECF three years programmes could have an option for the country to request an automatic increase of the loan if certain external shocks took place, e</w:t>
      </w:r>
      <w:r w:rsidR="006E2189" w:rsidRPr="00B04A17">
        <w:rPr>
          <w:rFonts w:ascii="Times New Roman" w:hAnsi="Times New Roman" w:cs="Times New Roman"/>
          <w:sz w:val="24"/>
          <w:szCs w:val="24"/>
        </w:rPr>
        <w:t>.</w:t>
      </w:r>
      <w:r w:rsidRPr="00B04A17">
        <w:rPr>
          <w:rFonts w:ascii="Times New Roman" w:hAnsi="Times New Roman" w:cs="Times New Roman"/>
          <w:sz w:val="24"/>
          <w:szCs w:val="24"/>
        </w:rPr>
        <w:t>g</w:t>
      </w:r>
      <w:r w:rsidR="006E2189" w:rsidRPr="00B04A17">
        <w:rPr>
          <w:rFonts w:ascii="Times New Roman" w:hAnsi="Times New Roman" w:cs="Times New Roman"/>
          <w:sz w:val="24"/>
          <w:szCs w:val="24"/>
        </w:rPr>
        <w:t>.</w:t>
      </w:r>
      <w:r w:rsidRPr="00B04A17">
        <w:rPr>
          <w:rFonts w:ascii="Times New Roman" w:hAnsi="Times New Roman" w:cs="Times New Roman"/>
          <w:sz w:val="24"/>
          <w:szCs w:val="24"/>
        </w:rPr>
        <w:t xml:space="preserve"> a reduction of their terms of trade by over 5</w:t>
      </w:r>
      <w:r w:rsidR="0084147B">
        <w:rPr>
          <w:rFonts w:ascii="Times New Roman" w:hAnsi="Times New Roman" w:cs="Times New Roman"/>
          <w:sz w:val="24"/>
          <w:szCs w:val="24"/>
        </w:rPr>
        <w:t xml:space="preserve"> per cent</w:t>
      </w:r>
      <w:r w:rsidR="0084147B" w:rsidRPr="00B04A17">
        <w:rPr>
          <w:rFonts w:ascii="Times New Roman" w:hAnsi="Times New Roman" w:cs="Times New Roman"/>
          <w:sz w:val="24"/>
          <w:szCs w:val="24"/>
        </w:rPr>
        <w:t xml:space="preserve">. </w:t>
      </w:r>
      <w:r w:rsidRPr="00B04A17">
        <w:rPr>
          <w:rFonts w:ascii="Times New Roman" w:hAnsi="Times New Roman" w:cs="Times New Roman"/>
          <w:sz w:val="24"/>
          <w:szCs w:val="24"/>
        </w:rPr>
        <w:t xml:space="preserve">Even the scale of additional resources could be broadly stipulated ex-ante, linked to potential magnitude to shocks. </w:t>
      </w:r>
      <w:r w:rsidR="00C35605">
        <w:rPr>
          <w:rFonts w:ascii="Times New Roman" w:hAnsi="Times New Roman" w:cs="Times New Roman"/>
          <w:sz w:val="24"/>
          <w:szCs w:val="24"/>
        </w:rPr>
        <w:t>T</w:t>
      </w:r>
      <w:r w:rsidRPr="00B04A17">
        <w:rPr>
          <w:rFonts w:ascii="Times New Roman" w:hAnsi="Times New Roman" w:cs="Times New Roman"/>
          <w:sz w:val="24"/>
          <w:szCs w:val="24"/>
        </w:rPr>
        <w:t>he Fund has in the past used such contingent clauses in very specific programmes, e</w:t>
      </w:r>
      <w:r w:rsidR="006E2189" w:rsidRPr="00B04A17">
        <w:rPr>
          <w:rFonts w:ascii="Times New Roman" w:hAnsi="Times New Roman" w:cs="Times New Roman"/>
          <w:sz w:val="24"/>
          <w:szCs w:val="24"/>
        </w:rPr>
        <w:t>.</w:t>
      </w:r>
      <w:r w:rsidRPr="00B04A17">
        <w:rPr>
          <w:rFonts w:ascii="Times New Roman" w:hAnsi="Times New Roman" w:cs="Times New Roman"/>
          <w:sz w:val="24"/>
          <w:szCs w:val="24"/>
        </w:rPr>
        <w:t>g</w:t>
      </w:r>
      <w:r w:rsidR="006E2189" w:rsidRPr="00B04A17">
        <w:rPr>
          <w:rFonts w:ascii="Times New Roman" w:hAnsi="Times New Roman" w:cs="Times New Roman"/>
          <w:sz w:val="24"/>
          <w:szCs w:val="24"/>
        </w:rPr>
        <w:t>.</w:t>
      </w:r>
      <w:r w:rsidRPr="00B04A17">
        <w:rPr>
          <w:rFonts w:ascii="Times New Roman" w:hAnsi="Times New Roman" w:cs="Times New Roman"/>
          <w:sz w:val="24"/>
          <w:szCs w:val="24"/>
        </w:rPr>
        <w:t xml:space="preserve"> the TIM; such a practice could be very beneficially expanded to, for example, all ECFs. Ideally the additional access would be less constrained by</w:t>
      </w:r>
      <w:r w:rsidR="003D2D1B" w:rsidRPr="00B04A17">
        <w:rPr>
          <w:rFonts w:ascii="Times New Roman" w:hAnsi="Times New Roman" w:cs="Times New Roman"/>
          <w:sz w:val="24"/>
          <w:szCs w:val="24"/>
        </w:rPr>
        <w:t xml:space="preserve"> access limits linked to quotas</w:t>
      </w:r>
      <w:r w:rsidRPr="00B04A17">
        <w:rPr>
          <w:rFonts w:ascii="Times New Roman" w:hAnsi="Times New Roman" w:cs="Times New Roman"/>
          <w:sz w:val="24"/>
          <w:szCs w:val="24"/>
        </w:rPr>
        <w:t>, and m</w:t>
      </w:r>
      <w:r w:rsidR="00D65274" w:rsidRPr="00B04A17">
        <w:rPr>
          <w:rFonts w:ascii="Times New Roman" w:hAnsi="Times New Roman" w:cs="Times New Roman"/>
          <w:sz w:val="24"/>
          <w:szCs w:val="24"/>
        </w:rPr>
        <w:t xml:space="preserve">ore closely linked to country </w:t>
      </w:r>
      <w:r w:rsidRPr="00B04A17">
        <w:rPr>
          <w:rFonts w:ascii="Times New Roman" w:hAnsi="Times New Roman" w:cs="Times New Roman"/>
          <w:sz w:val="24"/>
          <w:szCs w:val="24"/>
        </w:rPr>
        <w:t>needs.</w:t>
      </w:r>
      <w:r w:rsidR="002D6F3B" w:rsidRPr="00B04A17">
        <w:rPr>
          <w:rFonts w:ascii="Times New Roman" w:hAnsi="Times New Roman" w:cs="Times New Roman"/>
          <w:sz w:val="24"/>
          <w:szCs w:val="24"/>
        </w:rPr>
        <w:t xml:space="preserve"> </w:t>
      </w:r>
      <w:r w:rsidRPr="00B04A17">
        <w:rPr>
          <w:rFonts w:ascii="Times New Roman" w:hAnsi="Times New Roman" w:cs="Times New Roman"/>
          <w:sz w:val="24"/>
          <w:szCs w:val="24"/>
        </w:rPr>
        <w:t>Flexibility for using IMF resources could be further enhanced by, for example, eliminating existing restrictions, on repeated usage of facilities within certain periods, especially if major and repeated external shocks are happening.</w:t>
      </w:r>
    </w:p>
    <w:p w:rsidR="002A1073" w:rsidRPr="00E12CEA" w:rsidRDefault="005D5F50" w:rsidP="006005F5">
      <w:pPr>
        <w:autoSpaceDE w:val="0"/>
        <w:autoSpaceDN w:val="0"/>
        <w:adjustRightInd w:val="0"/>
        <w:spacing w:after="0" w:line="240" w:lineRule="auto"/>
        <w:ind w:left="851" w:right="-45" w:hanging="284"/>
        <w:jc w:val="both"/>
        <w:rPr>
          <w:rFonts w:ascii="Times New Roman" w:hAnsi="Times New Roman" w:cs="Times New Roman"/>
          <w:sz w:val="24"/>
          <w:szCs w:val="24"/>
        </w:rPr>
      </w:pPr>
      <w:r w:rsidRPr="00E12CEA">
        <w:rPr>
          <w:rFonts w:ascii="Times New Roman" w:hAnsi="Times New Roman" w:cs="Times New Roman"/>
          <w:sz w:val="24"/>
          <w:szCs w:val="24"/>
        </w:rPr>
        <w:t xml:space="preserve"> </w:t>
      </w:r>
    </w:p>
    <w:p w:rsidR="005D5F50" w:rsidRPr="00E12CEA" w:rsidRDefault="00E96CFF" w:rsidP="006005F5">
      <w:pPr>
        <w:pStyle w:val="ListParagraph"/>
        <w:numPr>
          <w:ilvl w:val="0"/>
          <w:numId w:val="7"/>
        </w:numPr>
        <w:autoSpaceDE w:val="0"/>
        <w:autoSpaceDN w:val="0"/>
        <w:adjustRightInd w:val="0"/>
        <w:spacing w:after="0" w:line="240" w:lineRule="auto"/>
        <w:ind w:left="851" w:right="-45" w:hanging="284"/>
        <w:jc w:val="both"/>
        <w:rPr>
          <w:rFonts w:ascii="Times New Roman" w:eastAsiaTheme="minorHAnsi" w:hAnsi="Times New Roman" w:cs="Times New Roman"/>
          <w:sz w:val="24"/>
          <w:szCs w:val="24"/>
        </w:rPr>
      </w:pPr>
      <w:r w:rsidRPr="00E12CEA">
        <w:rPr>
          <w:rFonts w:ascii="Times New Roman" w:hAnsi="Times New Roman" w:cs="Times New Roman"/>
          <w:b/>
          <w:bCs/>
          <w:iCs/>
          <w:sz w:val="24"/>
          <w:szCs w:val="24"/>
        </w:rPr>
        <w:t>Significantly i</w:t>
      </w:r>
      <w:r w:rsidR="005D5F50" w:rsidRPr="00E12CEA">
        <w:rPr>
          <w:rFonts w:ascii="Times New Roman" w:hAnsi="Times New Roman" w:cs="Times New Roman"/>
          <w:b/>
          <w:bCs/>
          <w:iCs/>
          <w:sz w:val="24"/>
          <w:szCs w:val="24"/>
        </w:rPr>
        <w:t>ncreasing access to low conditionality shocks IMF facilities.</w:t>
      </w:r>
      <w:r w:rsidR="002A1073" w:rsidRPr="00E12CEA">
        <w:rPr>
          <w:rFonts w:ascii="Times New Roman" w:hAnsi="Times New Roman" w:cs="Times New Roman"/>
          <w:b/>
          <w:bCs/>
          <w:iCs/>
          <w:sz w:val="24"/>
          <w:szCs w:val="24"/>
        </w:rPr>
        <w:t xml:space="preserve"> </w:t>
      </w:r>
      <w:r w:rsidR="005D5F50" w:rsidRPr="00B04A17">
        <w:rPr>
          <w:rFonts w:ascii="Times New Roman" w:hAnsi="Times New Roman" w:cs="Times New Roman"/>
          <w:bCs/>
          <w:iCs/>
          <w:sz w:val="24"/>
          <w:szCs w:val="24"/>
        </w:rPr>
        <w:t>This could most easily be done by significantly expanding the low conditionality R</w:t>
      </w:r>
      <w:r w:rsidR="00C35605">
        <w:rPr>
          <w:rFonts w:ascii="Times New Roman" w:hAnsi="Times New Roman" w:cs="Times New Roman"/>
          <w:bCs/>
          <w:iCs/>
          <w:sz w:val="24"/>
          <w:szCs w:val="24"/>
        </w:rPr>
        <w:t>CF</w:t>
      </w:r>
      <w:r w:rsidR="005D5F50" w:rsidRPr="00B04A17">
        <w:rPr>
          <w:rFonts w:ascii="Times New Roman" w:hAnsi="Times New Roman" w:cs="Times New Roman"/>
          <w:bCs/>
          <w:iCs/>
          <w:sz w:val="24"/>
          <w:szCs w:val="24"/>
        </w:rPr>
        <w:t xml:space="preserve"> for LICs. This would </w:t>
      </w:r>
      <w:r w:rsidR="00D65274" w:rsidRPr="00B04A17">
        <w:rPr>
          <w:rFonts w:ascii="Times New Roman" w:hAnsi="Times New Roman" w:cs="Times New Roman"/>
          <w:bCs/>
          <w:iCs/>
          <w:sz w:val="24"/>
          <w:szCs w:val="24"/>
        </w:rPr>
        <w:t>imply that there would be a far better</w:t>
      </w:r>
      <w:r w:rsidR="005D5F50" w:rsidRPr="00B04A17">
        <w:rPr>
          <w:rFonts w:ascii="Times New Roman" w:hAnsi="Times New Roman" w:cs="Times New Roman"/>
          <w:bCs/>
          <w:iCs/>
          <w:sz w:val="24"/>
          <w:szCs w:val="24"/>
        </w:rPr>
        <w:t xml:space="preserve"> fit between the nature of the shock (external) and the lending instrument the Fund would us</w:t>
      </w:r>
      <w:r w:rsidR="00D65274" w:rsidRPr="00B04A17">
        <w:rPr>
          <w:rFonts w:ascii="Times New Roman" w:hAnsi="Times New Roman" w:cs="Times New Roman"/>
          <w:bCs/>
          <w:iCs/>
          <w:sz w:val="24"/>
          <w:szCs w:val="24"/>
        </w:rPr>
        <w:t>e</w:t>
      </w:r>
      <w:r w:rsidR="00C35605">
        <w:rPr>
          <w:rFonts w:ascii="Times New Roman" w:hAnsi="Times New Roman" w:cs="Times New Roman"/>
          <w:bCs/>
          <w:iCs/>
          <w:sz w:val="24"/>
          <w:szCs w:val="24"/>
        </w:rPr>
        <w:t xml:space="preserve"> </w:t>
      </w:r>
      <w:r w:rsidR="00D65274" w:rsidRPr="00B04A17">
        <w:rPr>
          <w:rFonts w:ascii="Times New Roman" w:hAnsi="Times New Roman" w:cs="Times New Roman"/>
          <w:bCs/>
          <w:iCs/>
          <w:sz w:val="24"/>
          <w:szCs w:val="24"/>
        </w:rPr>
        <w:t>a low conditionality facility</w:t>
      </w:r>
      <w:r w:rsidR="005D5F50" w:rsidRPr="00B04A17">
        <w:rPr>
          <w:rFonts w:ascii="Times New Roman" w:hAnsi="Times New Roman" w:cs="Times New Roman"/>
          <w:bCs/>
          <w:iCs/>
          <w:sz w:val="24"/>
          <w:szCs w:val="24"/>
        </w:rPr>
        <w:t>. A second advantage would be greater speed in commitment of resources, which would increase the counter-cyclical nature of the lending instrument</w:t>
      </w:r>
      <w:r w:rsidR="002B3B62">
        <w:rPr>
          <w:rFonts w:ascii="Times New Roman" w:hAnsi="Times New Roman" w:cs="Times New Roman"/>
          <w:bCs/>
          <w:iCs/>
          <w:sz w:val="24"/>
          <w:szCs w:val="24"/>
        </w:rPr>
        <w:t xml:space="preserve"> </w:t>
      </w:r>
      <w:r w:rsidR="005D5F50" w:rsidRPr="00B04A17">
        <w:rPr>
          <w:rFonts w:ascii="Times New Roman" w:hAnsi="Times New Roman" w:cs="Times New Roman"/>
          <w:bCs/>
          <w:iCs/>
          <w:sz w:val="24"/>
          <w:szCs w:val="24"/>
        </w:rPr>
        <w:t>and avoid unnecessary costs to growth and poverty reduction.</w:t>
      </w:r>
    </w:p>
    <w:p w:rsidR="002A1073" w:rsidRPr="00E12CEA" w:rsidRDefault="002A1073" w:rsidP="006005F5">
      <w:pPr>
        <w:autoSpaceDE w:val="0"/>
        <w:autoSpaceDN w:val="0"/>
        <w:adjustRightInd w:val="0"/>
        <w:spacing w:after="0" w:line="240" w:lineRule="auto"/>
        <w:ind w:left="851" w:right="-45" w:hanging="284"/>
        <w:jc w:val="both"/>
        <w:rPr>
          <w:rFonts w:ascii="Times New Roman" w:hAnsi="Times New Roman" w:cs="Times New Roman"/>
          <w:sz w:val="24"/>
          <w:szCs w:val="24"/>
        </w:rPr>
      </w:pPr>
    </w:p>
    <w:p w:rsidR="005D5F50" w:rsidRPr="00E12CEA" w:rsidRDefault="005D5F50" w:rsidP="006005F5">
      <w:pPr>
        <w:pStyle w:val="ListParagraph"/>
        <w:numPr>
          <w:ilvl w:val="0"/>
          <w:numId w:val="6"/>
        </w:numPr>
        <w:autoSpaceDE w:val="0"/>
        <w:autoSpaceDN w:val="0"/>
        <w:adjustRightInd w:val="0"/>
        <w:spacing w:after="0" w:line="240" w:lineRule="auto"/>
        <w:ind w:left="851" w:right="-45" w:hanging="284"/>
        <w:jc w:val="both"/>
        <w:rPr>
          <w:rFonts w:ascii="Times New Roman" w:hAnsi="Times New Roman" w:cs="Times New Roman"/>
          <w:sz w:val="24"/>
          <w:szCs w:val="24"/>
        </w:rPr>
      </w:pPr>
      <w:r w:rsidRPr="00E12CEA">
        <w:rPr>
          <w:rFonts w:ascii="Times New Roman" w:hAnsi="Times New Roman" w:cs="Times New Roman"/>
          <w:b/>
          <w:bCs/>
          <w:iCs/>
          <w:sz w:val="24"/>
          <w:szCs w:val="24"/>
        </w:rPr>
        <w:t xml:space="preserve">Tailoring financing terms more closely to debt service capacity, </w:t>
      </w:r>
      <w:r w:rsidRPr="00E12CEA">
        <w:rPr>
          <w:rFonts w:ascii="Times New Roman" w:hAnsi="Times New Roman" w:cs="Times New Roman"/>
          <w:sz w:val="24"/>
          <w:szCs w:val="24"/>
        </w:rPr>
        <w:t xml:space="preserve">for instance by providing higher levels of concessionality to the poorest LICs, especially those with higher debt overhang, and  providing temporary interest relief during </w:t>
      </w:r>
      <w:r w:rsidR="00C35605">
        <w:rPr>
          <w:rFonts w:ascii="Times New Roman" w:hAnsi="Times New Roman" w:cs="Times New Roman"/>
          <w:sz w:val="24"/>
          <w:szCs w:val="24"/>
        </w:rPr>
        <w:t xml:space="preserve">periods of </w:t>
      </w:r>
      <w:r w:rsidRPr="00E12CEA">
        <w:rPr>
          <w:rFonts w:ascii="Times New Roman" w:hAnsi="Times New Roman" w:cs="Times New Roman"/>
          <w:sz w:val="24"/>
          <w:szCs w:val="24"/>
        </w:rPr>
        <w:t>systemic shock</w:t>
      </w:r>
      <w:r w:rsidR="00C35605">
        <w:rPr>
          <w:rFonts w:ascii="Times New Roman" w:hAnsi="Times New Roman" w:cs="Times New Roman"/>
          <w:sz w:val="24"/>
          <w:szCs w:val="24"/>
        </w:rPr>
        <w:t>,</w:t>
      </w:r>
      <w:r w:rsidR="00066263">
        <w:rPr>
          <w:rFonts w:ascii="Times New Roman" w:hAnsi="Times New Roman" w:cs="Times New Roman"/>
          <w:sz w:val="24"/>
          <w:szCs w:val="24"/>
        </w:rPr>
        <w:t xml:space="preserve"> </w:t>
      </w:r>
      <w:r w:rsidRPr="00E12CEA">
        <w:rPr>
          <w:rFonts w:ascii="Times New Roman" w:hAnsi="Times New Roman" w:cs="Times New Roman"/>
          <w:sz w:val="24"/>
          <w:szCs w:val="24"/>
        </w:rPr>
        <w:t>as the Fund has done during this phase of the global crisis.</w:t>
      </w:r>
    </w:p>
    <w:p w:rsidR="002A1073" w:rsidRPr="00E12CEA" w:rsidRDefault="002A1073" w:rsidP="006005F5">
      <w:pPr>
        <w:pStyle w:val="ListParagraph"/>
        <w:autoSpaceDE w:val="0"/>
        <w:autoSpaceDN w:val="0"/>
        <w:adjustRightInd w:val="0"/>
        <w:spacing w:after="0" w:line="240" w:lineRule="auto"/>
        <w:ind w:left="851" w:right="-45" w:hanging="284"/>
        <w:jc w:val="both"/>
        <w:rPr>
          <w:rFonts w:ascii="Times New Roman" w:hAnsi="Times New Roman" w:cs="Times New Roman"/>
          <w:sz w:val="24"/>
          <w:szCs w:val="24"/>
        </w:rPr>
      </w:pPr>
    </w:p>
    <w:p w:rsidR="005D5F50" w:rsidRPr="00B04A17" w:rsidRDefault="005D5F50" w:rsidP="006005F5">
      <w:pPr>
        <w:pStyle w:val="ListParagraph"/>
        <w:numPr>
          <w:ilvl w:val="0"/>
          <w:numId w:val="6"/>
        </w:numPr>
        <w:autoSpaceDE w:val="0"/>
        <w:autoSpaceDN w:val="0"/>
        <w:adjustRightInd w:val="0"/>
        <w:spacing w:after="0" w:line="240" w:lineRule="auto"/>
        <w:ind w:left="851" w:right="-45" w:hanging="284"/>
        <w:jc w:val="both"/>
        <w:rPr>
          <w:rFonts w:ascii="Times New Roman" w:hAnsi="Times New Roman" w:cs="Times New Roman"/>
          <w:bCs/>
          <w:iCs/>
          <w:sz w:val="24"/>
          <w:szCs w:val="24"/>
        </w:rPr>
      </w:pPr>
      <w:r w:rsidRPr="00B04A17">
        <w:rPr>
          <w:rFonts w:ascii="Times New Roman" w:hAnsi="Times New Roman" w:cs="Times New Roman"/>
          <w:bCs/>
          <w:iCs/>
          <w:sz w:val="24"/>
          <w:szCs w:val="24"/>
        </w:rPr>
        <w:t>Bec</w:t>
      </w:r>
      <w:r w:rsidR="00036CF2" w:rsidRPr="00B04A17">
        <w:rPr>
          <w:rFonts w:ascii="Times New Roman" w:hAnsi="Times New Roman" w:cs="Times New Roman"/>
          <w:bCs/>
          <w:iCs/>
          <w:sz w:val="24"/>
          <w:szCs w:val="24"/>
        </w:rPr>
        <w:t>ause PRGT subsidy resources are scarce</w:t>
      </w:r>
      <w:r w:rsidR="00C032DC" w:rsidRPr="00B04A17">
        <w:rPr>
          <w:rFonts w:ascii="Times New Roman" w:hAnsi="Times New Roman" w:cs="Times New Roman"/>
          <w:bCs/>
          <w:iCs/>
          <w:sz w:val="24"/>
          <w:szCs w:val="24"/>
        </w:rPr>
        <w:t xml:space="preserve"> </w:t>
      </w:r>
      <w:r w:rsidRPr="00B04A17">
        <w:rPr>
          <w:rFonts w:ascii="Times New Roman" w:hAnsi="Times New Roman" w:cs="Times New Roman"/>
          <w:bCs/>
          <w:iCs/>
          <w:sz w:val="24"/>
          <w:szCs w:val="24"/>
        </w:rPr>
        <w:t>and financing needs large, especially in t</w:t>
      </w:r>
      <w:r w:rsidR="00D65274" w:rsidRPr="00B04A17">
        <w:rPr>
          <w:rFonts w:ascii="Times New Roman" w:hAnsi="Times New Roman" w:cs="Times New Roman"/>
          <w:bCs/>
          <w:iCs/>
          <w:sz w:val="24"/>
          <w:szCs w:val="24"/>
        </w:rPr>
        <w:t xml:space="preserve">imes of major external shocks, </w:t>
      </w:r>
      <w:r w:rsidRPr="005F6851">
        <w:rPr>
          <w:rFonts w:ascii="Times New Roman" w:hAnsi="Times New Roman" w:cs="Times New Roman"/>
          <w:b/>
          <w:bCs/>
          <w:iCs/>
          <w:sz w:val="24"/>
          <w:szCs w:val="24"/>
        </w:rPr>
        <w:t xml:space="preserve">there may be a case for giving </w:t>
      </w:r>
      <w:r w:rsidR="00D65274" w:rsidRPr="005F6851">
        <w:rPr>
          <w:rFonts w:ascii="Times New Roman" w:hAnsi="Times New Roman" w:cs="Times New Roman"/>
          <w:b/>
          <w:bCs/>
          <w:iCs/>
          <w:sz w:val="24"/>
          <w:szCs w:val="24"/>
        </w:rPr>
        <w:t xml:space="preserve">some </w:t>
      </w:r>
      <w:r w:rsidRPr="005F6851">
        <w:rPr>
          <w:rFonts w:ascii="Times New Roman" w:hAnsi="Times New Roman" w:cs="Times New Roman"/>
          <w:b/>
          <w:bCs/>
          <w:iCs/>
          <w:sz w:val="24"/>
          <w:szCs w:val="24"/>
        </w:rPr>
        <w:t xml:space="preserve">LICs –that are not seriously indebted-the option of higher access to Fund borrowing, at a somewhat higher cost. </w:t>
      </w:r>
      <w:r w:rsidRPr="00B04A17">
        <w:rPr>
          <w:rFonts w:ascii="Times New Roman" w:hAnsi="Times New Roman" w:cs="Times New Roman"/>
          <w:bCs/>
          <w:iCs/>
          <w:sz w:val="24"/>
          <w:szCs w:val="24"/>
        </w:rPr>
        <w:t xml:space="preserve">This would imply a blending of concessional loans, based on PRGT resources and GRA loans. It is important that this is seen as a mechanism to </w:t>
      </w:r>
      <w:r w:rsidR="00C35605">
        <w:rPr>
          <w:rFonts w:ascii="Times New Roman" w:hAnsi="Times New Roman" w:cs="Times New Roman"/>
          <w:bCs/>
          <w:iCs/>
          <w:sz w:val="24"/>
          <w:szCs w:val="24"/>
        </w:rPr>
        <w:t xml:space="preserve">increase </w:t>
      </w:r>
      <w:r w:rsidRPr="00B04A17">
        <w:rPr>
          <w:rFonts w:ascii="Times New Roman" w:hAnsi="Times New Roman" w:cs="Times New Roman"/>
          <w:bCs/>
          <w:iCs/>
          <w:sz w:val="24"/>
          <w:szCs w:val="24"/>
        </w:rPr>
        <w:t xml:space="preserve">total levels of access for some LICs in periods of large shocks, </w:t>
      </w:r>
      <w:r w:rsidR="00C560FF" w:rsidRPr="00B04A17">
        <w:rPr>
          <w:rFonts w:ascii="Times New Roman" w:hAnsi="Times New Roman" w:cs="Times New Roman"/>
          <w:bCs/>
          <w:iCs/>
          <w:sz w:val="24"/>
          <w:szCs w:val="24"/>
        </w:rPr>
        <w:t xml:space="preserve">and </w:t>
      </w:r>
      <w:r w:rsidR="00C560FF">
        <w:rPr>
          <w:rFonts w:ascii="Times New Roman" w:hAnsi="Times New Roman" w:cs="Times New Roman"/>
          <w:bCs/>
          <w:iCs/>
          <w:sz w:val="24"/>
          <w:szCs w:val="24"/>
        </w:rPr>
        <w:t>not</w:t>
      </w:r>
      <w:r w:rsidR="00C35605" w:rsidRPr="005F6851">
        <w:rPr>
          <w:rFonts w:ascii="Times New Roman" w:hAnsi="Times New Roman" w:cs="Times New Roman"/>
          <w:b/>
          <w:bCs/>
          <w:iCs/>
          <w:sz w:val="24"/>
          <w:szCs w:val="24"/>
        </w:rPr>
        <w:t xml:space="preserve"> </w:t>
      </w:r>
      <w:r w:rsidRPr="00B04A17">
        <w:rPr>
          <w:rFonts w:ascii="Times New Roman" w:hAnsi="Times New Roman" w:cs="Times New Roman"/>
          <w:bCs/>
          <w:iCs/>
          <w:sz w:val="24"/>
          <w:szCs w:val="24"/>
        </w:rPr>
        <w:t>as a justification to lower their normal</w:t>
      </w:r>
      <w:r w:rsidR="003D2D1B" w:rsidRPr="00B04A17">
        <w:rPr>
          <w:rFonts w:ascii="Times New Roman" w:hAnsi="Times New Roman" w:cs="Times New Roman"/>
          <w:bCs/>
          <w:iCs/>
          <w:sz w:val="24"/>
          <w:szCs w:val="24"/>
        </w:rPr>
        <w:t xml:space="preserve"> </w:t>
      </w:r>
      <w:r w:rsidRPr="00B04A17">
        <w:rPr>
          <w:rFonts w:ascii="Times New Roman" w:hAnsi="Times New Roman" w:cs="Times New Roman"/>
          <w:bCs/>
          <w:iCs/>
          <w:sz w:val="24"/>
          <w:szCs w:val="24"/>
        </w:rPr>
        <w:t>access limits, based on PRGT funded concessional loans</w:t>
      </w:r>
      <w:r w:rsidR="00C35605">
        <w:rPr>
          <w:rFonts w:ascii="Times New Roman" w:hAnsi="Times New Roman" w:cs="Times New Roman"/>
          <w:bCs/>
          <w:iCs/>
          <w:sz w:val="24"/>
          <w:szCs w:val="24"/>
        </w:rPr>
        <w:t>.</w:t>
      </w:r>
    </w:p>
    <w:p w:rsidR="005D5F50" w:rsidRPr="00B04A17" w:rsidRDefault="005D5F50" w:rsidP="006005F5">
      <w:pPr>
        <w:autoSpaceDE w:val="0"/>
        <w:autoSpaceDN w:val="0"/>
        <w:adjustRightInd w:val="0"/>
        <w:spacing w:after="0" w:line="240" w:lineRule="auto"/>
        <w:ind w:left="851" w:right="-45" w:hanging="284"/>
        <w:jc w:val="both"/>
        <w:rPr>
          <w:rFonts w:ascii="Times New Roman" w:hAnsi="Times New Roman" w:cs="Times New Roman"/>
          <w:bCs/>
          <w:iCs/>
          <w:sz w:val="24"/>
          <w:szCs w:val="24"/>
        </w:rPr>
      </w:pPr>
    </w:p>
    <w:p w:rsidR="004A52AA" w:rsidRDefault="005D5F50" w:rsidP="006005F5">
      <w:pPr>
        <w:pStyle w:val="ListParagraph"/>
        <w:numPr>
          <w:ilvl w:val="0"/>
          <w:numId w:val="6"/>
        </w:numPr>
        <w:autoSpaceDE w:val="0"/>
        <w:autoSpaceDN w:val="0"/>
        <w:adjustRightInd w:val="0"/>
        <w:spacing w:after="0" w:line="240" w:lineRule="auto"/>
        <w:ind w:left="851" w:right="-45" w:hanging="284"/>
        <w:jc w:val="both"/>
        <w:rPr>
          <w:rFonts w:ascii="Times New Roman" w:hAnsi="Times New Roman" w:cs="Times New Roman"/>
          <w:bCs/>
          <w:iCs/>
          <w:sz w:val="24"/>
          <w:szCs w:val="24"/>
        </w:rPr>
      </w:pPr>
      <w:r w:rsidRPr="00E12CEA">
        <w:rPr>
          <w:rFonts w:ascii="Times New Roman" w:hAnsi="Times New Roman" w:cs="Times New Roman"/>
          <w:b/>
          <w:bCs/>
          <w:iCs/>
          <w:sz w:val="24"/>
          <w:szCs w:val="24"/>
        </w:rPr>
        <w:t xml:space="preserve">Indeed, it seems highly desirable to attempt to keep current levels of access, as proportion of quotas, for the different IMF LIC facilities, once IMF quotas are doubled, and not </w:t>
      </w:r>
      <w:r w:rsidR="00C35605">
        <w:rPr>
          <w:rFonts w:ascii="Times New Roman" w:hAnsi="Times New Roman" w:cs="Times New Roman"/>
          <w:b/>
          <w:bCs/>
          <w:iCs/>
          <w:sz w:val="24"/>
          <w:szCs w:val="24"/>
        </w:rPr>
        <w:t xml:space="preserve">to </w:t>
      </w:r>
      <w:r w:rsidRPr="00E12CEA">
        <w:rPr>
          <w:rFonts w:ascii="Times New Roman" w:hAnsi="Times New Roman" w:cs="Times New Roman"/>
          <w:b/>
          <w:bCs/>
          <w:iCs/>
          <w:sz w:val="24"/>
          <w:szCs w:val="24"/>
        </w:rPr>
        <w:t>r</w:t>
      </w:r>
      <w:r w:rsidR="00C032DC" w:rsidRPr="00E12CEA">
        <w:rPr>
          <w:rFonts w:ascii="Times New Roman" w:hAnsi="Times New Roman" w:cs="Times New Roman"/>
          <w:b/>
          <w:bCs/>
          <w:iCs/>
          <w:sz w:val="24"/>
          <w:szCs w:val="24"/>
        </w:rPr>
        <w:t>educe them as has been proposed</w:t>
      </w:r>
      <w:r w:rsidRPr="00E12CEA">
        <w:rPr>
          <w:rFonts w:ascii="Times New Roman" w:hAnsi="Times New Roman" w:cs="Times New Roman"/>
          <w:b/>
          <w:bCs/>
          <w:iCs/>
          <w:sz w:val="24"/>
          <w:szCs w:val="24"/>
        </w:rPr>
        <w:t xml:space="preserve">. </w:t>
      </w:r>
      <w:r w:rsidRPr="00B04A17">
        <w:rPr>
          <w:rFonts w:ascii="Times New Roman" w:hAnsi="Times New Roman" w:cs="Times New Roman"/>
          <w:bCs/>
          <w:iCs/>
          <w:sz w:val="24"/>
          <w:szCs w:val="24"/>
        </w:rPr>
        <w:t xml:space="preserve">This </w:t>
      </w:r>
      <w:r w:rsidR="00C032DC" w:rsidRPr="00B04A17">
        <w:rPr>
          <w:rFonts w:ascii="Times New Roman" w:hAnsi="Times New Roman" w:cs="Times New Roman"/>
          <w:bCs/>
          <w:iCs/>
          <w:sz w:val="24"/>
          <w:szCs w:val="24"/>
        </w:rPr>
        <w:t xml:space="preserve">important measure </w:t>
      </w:r>
      <w:r w:rsidRPr="00B04A17">
        <w:rPr>
          <w:rFonts w:ascii="Times New Roman" w:hAnsi="Times New Roman" w:cs="Times New Roman"/>
          <w:bCs/>
          <w:iCs/>
          <w:sz w:val="24"/>
          <w:szCs w:val="24"/>
        </w:rPr>
        <w:t>requires an increase of PRGT resources to fund such lending beyond 2014, as we discuss</w:t>
      </w:r>
      <w:r w:rsidR="00C35C6E">
        <w:rPr>
          <w:rFonts w:ascii="Times New Roman" w:hAnsi="Times New Roman" w:cs="Times New Roman"/>
          <w:bCs/>
          <w:iCs/>
          <w:sz w:val="24"/>
          <w:szCs w:val="24"/>
        </w:rPr>
        <w:t xml:space="preserve"> </w:t>
      </w:r>
      <w:r w:rsidR="00C35605">
        <w:rPr>
          <w:rFonts w:ascii="Times New Roman" w:hAnsi="Times New Roman" w:cs="Times New Roman"/>
          <w:bCs/>
          <w:iCs/>
          <w:sz w:val="24"/>
          <w:szCs w:val="24"/>
        </w:rPr>
        <w:t>later in this paper</w:t>
      </w:r>
      <w:r w:rsidR="002D6F3B">
        <w:rPr>
          <w:rFonts w:ascii="Times New Roman" w:hAnsi="Times New Roman" w:cs="Times New Roman"/>
          <w:bCs/>
          <w:iCs/>
          <w:sz w:val="24"/>
          <w:szCs w:val="24"/>
        </w:rPr>
        <w:t>.</w:t>
      </w:r>
    </w:p>
    <w:p w:rsidR="00707A11" w:rsidRDefault="00707A11" w:rsidP="00B04A17">
      <w:pPr>
        <w:pStyle w:val="ListParagraph"/>
        <w:rPr>
          <w:rFonts w:ascii="Times New Roman" w:hAnsi="Times New Roman" w:cs="Times New Roman"/>
          <w:bCs/>
          <w:iCs/>
          <w:sz w:val="24"/>
          <w:szCs w:val="24"/>
        </w:rPr>
      </w:pPr>
    </w:p>
    <w:p w:rsidR="00707A11" w:rsidRDefault="00707A11" w:rsidP="00B04A17">
      <w:pPr>
        <w:pStyle w:val="ListParagraph"/>
        <w:rPr>
          <w:rFonts w:ascii="Times New Roman" w:hAnsi="Times New Roman" w:cs="Times New Roman"/>
          <w:bCs/>
          <w:iCs/>
          <w:sz w:val="24"/>
          <w:szCs w:val="24"/>
        </w:rPr>
      </w:pPr>
    </w:p>
    <w:p w:rsidR="002B3B62" w:rsidRDefault="002B3B62" w:rsidP="00B04A17">
      <w:pPr>
        <w:pStyle w:val="ListParagraph"/>
        <w:rPr>
          <w:rFonts w:ascii="Times New Roman" w:hAnsi="Times New Roman" w:cs="Times New Roman"/>
          <w:bCs/>
          <w:iCs/>
          <w:sz w:val="24"/>
          <w:szCs w:val="24"/>
        </w:rPr>
      </w:pPr>
      <w:r w:rsidRPr="00E12CEA">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79A5E22F" wp14:editId="6BE32832">
                <wp:simplePos x="0" y="0"/>
                <wp:positionH relativeFrom="column">
                  <wp:posOffset>230588</wp:posOffset>
                </wp:positionH>
                <wp:positionV relativeFrom="paragraph">
                  <wp:posOffset>-103367</wp:posOffset>
                </wp:positionV>
                <wp:extent cx="5438693" cy="3140765"/>
                <wp:effectExtent l="0" t="0" r="1016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693" cy="3140765"/>
                        </a:xfrm>
                        <a:prstGeom prst="rect">
                          <a:avLst/>
                        </a:prstGeom>
                        <a:solidFill>
                          <a:schemeClr val="bg1">
                            <a:lumMod val="85000"/>
                          </a:schemeClr>
                        </a:solidFill>
                        <a:ln w="9525">
                          <a:solidFill>
                            <a:srgbClr val="000000"/>
                          </a:solidFill>
                          <a:miter lim="800000"/>
                          <a:headEnd/>
                          <a:tailEnd/>
                        </a:ln>
                      </wps:spPr>
                      <wps:txbx>
                        <w:txbxContent>
                          <w:p w:rsidR="008E10B3" w:rsidRPr="0084147B" w:rsidRDefault="008E10B3" w:rsidP="00B04A17">
                            <w:pPr>
                              <w:spacing w:after="0" w:line="240" w:lineRule="auto"/>
                              <w:rPr>
                                <w:rFonts w:ascii="Times New Roman" w:hAnsi="Times New Roman" w:cs="Times New Roman"/>
                                <w:b/>
                                <w:sz w:val="24"/>
                                <w:szCs w:val="24"/>
                              </w:rPr>
                            </w:pPr>
                            <w:r w:rsidRPr="0084147B">
                              <w:rPr>
                                <w:rFonts w:ascii="Times New Roman" w:hAnsi="Times New Roman" w:cs="Times New Roman"/>
                                <w:b/>
                                <w:sz w:val="24"/>
                                <w:szCs w:val="24"/>
                              </w:rPr>
                              <w:t>Key Issues and Questions for Ministers</w:t>
                            </w:r>
                          </w:p>
                          <w:p w:rsidR="008E10B3" w:rsidRPr="0084147B" w:rsidRDefault="008E10B3" w:rsidP="00B04A17">
                            <w:pPr>
                              <w:spacing w:after="0" w:line="240" w:lineRule="auto"/>
                              <w:rPr>
                                <w:rFonts w:ascii="Times New Roman" w:hAnsi="Times New Roman" w:cs="Times New Roman"/>
                                <w:sz w:val="24"/>
                                <w:szCs w:val="24"/>
                              </w:rPr>
                            </w:pPr>
                            <w:r w:rsidRPr="0084147B">
                              <w:rPr>
                                <w:rFonts w:ascii="Times New Roman" w:hAnsi="Times New Roman" w:cs="Times New Roman"/>
                                <w:sz w:val="24"/>
                                <w:szCs w:val="24"/>
                              </w:rPr>
                              <w:t xml:space="preserve">Ministers’ views are sought </w:t>
                            </w:r>
                            <w:r>
                              <w:rPr>
                                <w:rFonts w:ascii="Times New Roman" w:hAnsi="Times New Roman" w:cs="Times New Roman"/>
                                <w:sz w:val="24"/>
                                <w:szCs w:val="24"/>
                              </w:rPr>
                              <w:t xml:space="preserve">on </w:t>
                            </w:r>
                            <w:r w:rsidRPr="0084147B">
                              <w:rPr>
                                <w:rFonts w:ascii="Times New Roman" w:hAnsi="Times New Roman" w:cs="Times New Roman"/>
                                <w:sz w:val="24"/>
                                <w:szCs w:val="24"/>
                              </w:rPr>
                              <w:t>several issues raised above, in order to contribute Commonwealth perspectives and approaches to the IMF review process:</w:t>
                            </w:r>
                          </w:p>
                          <w:p w:rsidR="008E10B3" w:rsidRPr="0084147B" w:rsidRDefault="008E10B3" w:rsidP="00B04A17">
                            <w:pPr>
                              <w:spacing w:after="0" w:line="240" w:lineRule="auto"/>
                              <w:rPr>
                                <w:rFonts w:ascii="Times New Roman" w:hAnsi="Times New Roman" w:cs="Times New Roman"/>
                                <w:sz w:val="24"/>
                                <w:szCs w:val="24"/>
                              </w:rPr>
                            </w:pPr>
                          </w:p>
                          <w:p w:rsidR="008E10B3" w:rsidRPr="00FF2013" w:rsidRDefault="008E10B3"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Ministers are asked to comment on whether it is desirable to </w:t>
                            </w:r>
                            <w:r w:rsidRPr="00FF2013">
                              <w:rPr>
                                <w:rFonts w:ascii="Times New Roman" w:hAnsi="Times New Roman" w:cs="Times New Roman"/>
                                <w:b/>
                                <w:sz w:val="24"/>
                                <w:szCs w:val="24"/>
                              </w:rPr>
                              <w:t>allocate a higher proportion of official resources to shock facilities?</w:t>
                            </w:r>
                          </w:p>
                          <w:p w:rsidR="008E10B3" w:rsidRPr="00FF2013" w:rsidRDefault="008E10B3"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Do Ministers concur with the view that </w:t>
                            </w:r>
                            <w:r w:rsidRPr="00FF2013">
                              <w:rPr>
                                <w:rFonts w:ascii="Times New Roman" w:hAnsi="Times New Roman" w:cs="Times New Roman"/>
                                <w:b/>
                                <w:sz w:val="24"/>
                                <w:szCs w:val="24"/>
                              </w:rPr>
                              <w:t>the favourable treatment of small states should continue?</w:t>
                            </w:r>
                          </w:p>
                          <w:p w:rsidR="008E10B3" w:rsidRPr="00FF2013" w:rsidRDefault="008E10B3"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b/>
                                <w:sz w:val="24"/>
                                <w:szCs w:val="24"/>
                              </w:rPr>
                              <w:t>How can the predictability of IMF shock financing be improved?</w:t>
                            </w:r>
                            <w:r w:rsidRPr="00FF2013">
                              <w:rPr>
                                <w:rFonts w:ascii="Times New Roman" w:hAnsi="Times New Roman" w:cs="Times New Roman"/>
                                <w:sz w:val="24"/>
                                <w:szCs w:val="24"/>
                              </w:rPr>
                              <w:t xml:space="preserve"> Ministers are asked to comment specifically on the suggestion to include options for contingent support; and eliminating existing restrictions on repeated usage within certain periods.</w:t>
                            </w:r>
                          </w:p>
                          <w:p w:rsidR="008E10B3" w:rsidRPr="00FF2013" w:rsidRDefault="008E10B3"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Should </w:t>
                            </w:r>
                            <w:r w:rsidRPr="00FF2013">
                              <w:rPr>
                                <w:rFonts w:ascii="Times New Roman" w:hAnsi="Times New Roman" w:cs="Times New Roman"/>
                                <w:b/>
                                <w:sz w:val="24"/>
                                <w:szCs w:val="24"/>
                              </w:rPr>
                              <w:t>access to the Rapid Credit Facility</w:t>
                            </w:r>
                            <w:r w:rsidRPr="00FF2013">
                              <w:rPr>
                                <w:rFonts w:ascii="Times New Roman" w:hAnsi="Times New Roman" w:cs="Times New Roman"/>
                                <w:sz w:val="24"/>
                                <w:szCs w:val="24"/>
                              </w:rPr>
                              <w:t xml:space="preserve"> be significantly increased?</w:t>
                            </w:r>
                          </w:p>
                          <w:p w:rsidR="008E10B3" w:rsidRPr="00FF2013" w:rsidRDefault="008E10B3"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Should </w:t>
                            </w:r>
                            <w:r w:rsidRPr="00FF2013">
                              <w:rPr>
                                <w:rFonts w:ascii="Times New Roman" w:hAnsi="Times New Roman" w:cs="Times New Roman"/>
                                <w:b/>
                                <w:sz w:val="24"/>
                                <w:szCs w:val="24"/>
                              </w:rPr>
                              <w:t>current access limits</w:t>
                            </w:r>
                            <w:r w:rsidRPr="00FF2013">
                              <w:rPr>
                                <w:rFonts w:ascii="Times New Roman" w:hAnsi="Times New Roman" w:cs="Times New Roman"/>
                                <w:sz w:val="24"/>
                                <w:szCs w:val="24"/>
                              </w:rPr>
                              <w:t xml:space="preserve"> be maintained?</w:t>
                            </w:r>
                          </w:p>
                          <w:p w:rsidR="008E10B3" w:rsidRPr="00FF2013" w:rsidRDefault="008E10B3"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Ministers are asked to comment on the </w:t>
                            </w:r>
                            <w:r w:rsidRPr="00FF2013">
                              <w:rPr>
                                <w:rFonts w:ascii="Times New Roman" w:hAnsi="Times New Roman" w:cs="Times New Roman"/>
                                <w:b/>
                                <w:sz w:val="24"/>
                                <w:szCs w:val="24"/>
                              </w:rPr>
                              <w:t>suggested blending mechanism to increase access levels for LICs that are not seriously indebted.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8.15pt;margin-top:-8.15pt;width:428.25pt;height:24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JzPgIAAHEEAAAOAAAAZHJzL2Uyb0RvYy54bWysVNtu2zAMfR+wfxD0vti5J0acokvXYUB3&#10;Adp9gCzLtjBJ9CQldvb1o+Q0dbe3YS+CKNKH5Dmkdze9VuQkrJNgcjqdpJQIw6GUps7p96f7dxtK&#10;nGemZAqMyOlZOHqzf/tm17WZmEEDqhSWIIhxWdfmtPG+zZLE8UZo5ibQCoPOCqxmHk1bJ6VlHaJr&#10;lczSdJV0YMvWAhfO4evd4KT7iF9VgvuvVeWEJyqnWJuPp41nEc5kv2NZbVnbSH4pg/1DFZpJg0mv&#10;UHfMM3K08i8oLbkFB5WfcNAJVJXkIvaA3UzTP7p5bFgrYi9IjmuvNLn/B8u/nL5ZIsucztM1JYZp&#10;FOlJ9J68h57MAj9d6zIMe2wx0Pf4jDrHXl37APyHIwYODTO1uLUWukawEuubhi+T0acDjgsgRfcZ&#10;SkzDjh4iUF9ZHchDOgiio07nqzahFI6Py8V8s9rOKeHom08X6Xq1jDlY9vx5a53/KECTcMmpRfEj&#10;PDs9OB/KYdlzSMjmQMnyXioVjTBw4qAsOTEclaIeWlRHjbUOb5tlmsaBQZw4nyE8or5CUoZ0Od0u&#10;Z8uBpFdZbF1ccyDaCHAcpqXHpVBS53RzDWJZoPaDKePIeibVcMdqlLlwHegdiPZ90UdZoxBBhwLK&#10;M5JvYdgB3Fm8NGB/UdLh/OfU/TwyKyhRnwwKuJ0uFmFhorFYrmdo2LGnGHuY4QiVU0/JcD34uGSB&#10;WgO3KHQlowQvlVxKxrmOHF52MCzO2I5RL3+K/W8AAAD//wMAUEsDBBQABgAIAAAAIQCIIFKc4QAA&#10;AAoBAAAPAAAAZHJzL2Rvd25yZXYueG1sTI/BToQwEIbvJr5DMyZeNruFxQAiZbMx2ZPGKBrisdAK&#10;RDolbXcX397Zk95mMl/++f5yt5iJnbTzo0UB8SYCprGzasRewMf7YZ0D80GikpNFLeBHe9hV11el&#10;LJQ945s+1aFnFIK+kAKGEOaCc98N2ki/sbNGun1ZZ2Sg1fVcOXmmcDPxbRSl3MgR6cMgZ/046O67&#10;PhoB7XP2lO4PTdapz5Vb1U380rzGQtzeLPsHYEEv4Q+Giz6pQ0VOrT2i8mwSkKQJkQLW8WUgIL/f&#10;UpdWwF2WJ8Crkv+vUP0CAAD//wMAUEsBAi0AFAAGAAgAAAAhALaDOJL+AAAA4QEAABMAAAAAAAAA&#10;AAAAAAAAAAAAAFtDb250ZW50X1R5cGVzXS54bWxQSwECLQAUAAYACAAAACEAOP0h/9YAAACUAQAA&#10;CwAAAAAAAAAAAAAAAAAvAQAAX3JlbHMvLnJlbHNQSwECLQAUAAYACAAAACEAbkAycz4CAABxBAAA&#10;DgAAAAAAAAAAAAAAAAAuAgAAZHJzL2Uyb0RvYy54bWxQSwECLQAUAAYACAAAACEAiCBSnOEAAAAK&#10;AQAADwAAAAAAAAAAAAAAAACYBAAAZHJzL2Rvd25yZXYueG1sUEsFBgAAAAAEAAQA8wAAAKYFAAAA&#10;AA==&#10;" fillcolor="#d8d8d8 [2732]">
                <v:textbox>
                  <w:txbxContent>
                    <w:p w:rsidR="00E71614" w:rsidRPr="0084147B" w:rsidRDefault="00E71614" w:rsidP="00B04A17">
                      <w:pPr>
                        <w:spacing w:after="0" w:line="240" w:lineRule="auto"/>
                        <w:rPr>
                          <w:rFonts w:ascii="Times New Roman" w:hAnsi="Times New Roman" w:cs="Times New Roman"/>
                          <w:b/>
                          <w:sz w:val="24"/>
                          <w:szCs w:val="24"/>
                        </w:rPr>
                      </w:pPr>
                      <w:r w:rsidRPr="0084147B">
                        <w:rPr>
                          <w:rFonts w:ascii="Times New Roman" w:hAnsi="Times New Roman" w:cs="Times New Roman"/>
                          <w:b/>
                          <w:sz w:val="24"/>
                          <w:szCs w:val="24"/>
                        </w:rPr>
                        <w:t>Key Issues and Questions for Ministers</w:t>
                      </w:r>
                    </w:p>
                    <w:p w:rsidR="00E71614" w:rsidRPr="0084147B" w:rsidRDefault="00E71614" w:rsidP="00B04A17">
                      <w:pPr>
                        <w:spacing w:after="0" w:line="240" w:lineRule="auto"/>
                        <w:rPr>
                          <w:rFonts w:ascii="Times New Roman" w:hAnsi="Times New Roman" w:cs="Times New Roman"/>
                          <w:sz w:val="24"/>
                          <w:szCs w:val="24"/>
                        </w:rPr>
                      </w:pPr>
                      <w:r w:rsidRPr="0084147B">
                        <w:rPr>
                          <w:rFonts w:ascii="Times New Roman" w:hAnsi="Times New Roman" w:cs="Times New Roman"/>
                          <w:sz w:val="24"/>
                          <w:szCs w:val="24"/>
                        </w:rPr>
                        <w:t xml:space="preserve">Ministers’ views are sought </w:t>
                      </w:r>
                      <w:r>
                        <w:rPr>
                          <w:rFonts w:ascii="Times New Roman" w:hAnsi="Times New Roman" w:cs="Times New Roman"/>
                          <w:sz w:val="24"/>
                          <w:szCs w:val="24"/>
                        </w:rPr>
                        <w:t xml:space="preserve">on </w:t>
                      </w:r>
                      <w:r w:rsidRPr="0084147B">
                        <w:rPr>
                          <w:rFonts w:ascii="Times New Roman" w:hAnsi="Times New Roman" w:cs="Times New Roman"/>
                          <w:sz w:val="24"/>
                          <w:szCs w:val="24"/>
                        </w:rPr>
                        <w:t>several issues raised above, in order to contribute Commonwealth perspectives and approaches to the IMF review process:</w:t>
                      </w:r>
                    </w:p>
                    <w:p w:rsidR="00E71614" w:rsidRPr="0084147B" w:rsidRDefault="00E71614" w:rsidP="00B04A17">
                      <w:pPr>
                        <w:spacing w:after="0" w:line="240" w:lineRule="auto"/>
                        <w:rPr>
                          <w:rFonts w:ascii="Times New Roman" w:hAnsi="Times New Roman" w:cs="Times New Roman"/>
                          <w:sz w:val="24"/>
                          <w:szCs w:val="24"/>
                        </w:rPr>
                      </w:pPr>
                    </w:p>
                    <w:p w:rsidR="00E71614" w:rsidRPr="00FF2013" w:rsidRDefault="00E71614"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Ministers are asked to comment on whether it is desirable to </w:t>
                      </w:r>
                      <w:r w:rsidRPr="00FF2013">
                        <w:rPr>
                          <w:rFonts w:ascii="Times New Roman" w:hAnsi="Times New Roman" w:cs="Times New Roman"/>
                          <w:b/>
                          <w:sz w:val="24"/>
                          <w:szCs w:val="24"/>
                        </w:rPr>
                        <w:t>allocate a higher proportion of official resources to shock facilities?</w:t>
                      </w:r>
                    </w:p>
                    <w:p w:rsidR="00E71614" w:rsidRPr="00FF2013" w:rsidRDefault="00E71614"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Do Ministers concur with the view that </w:t>
                      </w:r>
                      <w:r w:rsidRPr="00FF2013">
                        <w:rPr>
                          <w:rFonts w:ascii="Times New Roman" w:hAnsi="Times New Roman" w:cs="Times New Roman"/>
                          <w:b/>
                          <w:sz w:val="24"/>
                          <w:szCs w:val="24"/>
                        </w:rPr>
                        <w:t>the favourable treatment of small states should continue?</w:t>
                      </w:r>
                    </w:p>
                    <w:p w:rsidR="00E71614" w:rsidRPr="00FF2013" w:rsidRDefault="00E71614"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b/>
                          <w:sz w:val="24"/>
                          <w:szCs w:val="24"/>
                        </w:rPr>
                        <w:t>How can the predictability of IMF shock financing be improved?</w:t>
                      </w:r>
                      <w:r w:rsidRPr="00FF2013">
                        <w:rPr>
                          <w:rFonts w:ascii="Times New Roman" w:hAnsi="Times New Roman" w:cs="Times New Roman"/>
                          <w:sz w:val="24"/>
                          <w:szCs w:val="24"/>
                        </w:rPr>
                        <w:t xml:space="preserve"> Ministers are asked to comment specifically on the suggestion to include options for contingent support; and eliminating existing restrictions on repeated usage within certain periods.</w:t>
                      </w:r>
                    </w:p>
                    <w:p w:rsidR="00E71614" w:rsidRPr="00FF2013" w:rsidRDefault="00E71614"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Should </w:t>
                      </w:r>
                      <w:r w:rsidRPr="00FF2013">
                        <w:rPr>
                          <w:rFonts w:ascii="Times New Roman" w:hAnsi="Times New Roman" w:cs="Times New Roman"/>
                          <w:b/>
                          <w:sz w:val="24"/>
                          <w:szCs w:val="24"/>
                        </w:rPr>
                        <w:t>access to the Rapid Credit Facility</w:t>
                      </w:r>
                      <w:r w:rsidRPr="00FF2013">
                        <w:rPr>
                          <w:rFonts w:ascii="Times New Roman" w:hAnsi="Times New Roman" w:cs="Times New Roman"/>
                          <w:sz w:val="24"/>
                          <w:szCs w:val="24"/>
                        </w:rPr>
                        <w:t xml:space="preserve"> be significantly increased?</w:t>
                      </w:r>
                    </w:p>
                    <w:p w:rsidR="00E71614" w:rsidRPr="00FF2013" w:rsidRDefault="00E71614"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Should </w:t>
                      </w:r>
                      <w:r w:rsidRPr="00FF2013">
                        <w:rPr>
                          <w:rFonts w:ascii="Times New Roman" w:hAnsi="Times New Roman" w:cs="Times New Roman"/>
                          <w:b/>
                          <w:sz w:val="24"/>
                          <w:szCs w:val="24"/>
                        </w:rPr>
                        <w:t>current access limits</w:t>
                      </w:r>
                      <w:r w:rsidRPr="00FF2013">
                        <w:rPr>
                          <w:rFonts w:ascii="Times New Roman" w:hAnsi="Times New Roman" w:cs="Times New Roman"/>
                          <w:sz w:val="24"/>
                          <w:szCs w:val="24"/>
                        </w:rPr>
                        <w:t xml:space="preserve"> be maintained?</w:t>
                      </w:r>
                    </w:p>
                    <w:p w:rsidR="00E71614" w:rsidRPr="00FF2013" w:rsidRDefault="00E71614" w:rsidP="00B04A17">
                      <w:pPr>
                        <w:pStyle w:val="ListParagraph"/>
                        <w:numPr>
                          <w:ilvl w:val="0"/>
                          <w:numId w:val="10"/>
                        </w:numPr>
                        <w:spacing w:after="0" w:line="240" w:lineRule="auto"/>
                        <w:rPr>
                          <w:rFonts w:ascii="Times New Roman" w:hAnsi="Times New Roman" w:cs="Times New Roman"/>
                          <w:sz w:val="24"/>
                          <w:szCs w:val="24"/>
                        </w:rPr>
                      </w:pPr>
                      <w:r w:rsidRPr="00FF2013">
                        <w:rPr>
                          <w:rFonts w:ascii="Times New Roman" w:hAnsi="Times New Roman" w:cs="Times New Roman"/>
                          <w:sz w:val="24"/>
                          <w:szCs w:val="24"/>
                        </w:rPr>
                        <w:t xml:space="preserve">Ministers are asked to comment on the </w:t>
                      </w:r>
                      <w:r w:rsidRPr="00FF2013">
                        <w:rPr>
                          <w:rFonts w:ascii="Times New Roman" w:hAnsi="Times New Roman" w:cs="Times New Roman"/>
                          <w:b/>
                          <w:sz w:val="24"/>
                          <w:szCs w:val="24"/>
                        </w:rPr>
                        <w:t>suggested blending mechanism to increase access levels for LICs that are not seriously indebted.</w:t>
                      </w:r>
                    </w:p>
                  </w:txbxContent>
                </v:textbox>
              </v:shape>
            </w:pict>
          </mc:Fallback>
        </mc:AlternateContent>
      </w: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C94904" w:rsidRDefault="00C94904" w:rsidP="00B04A17">
      <w:pPr>
        <w:pStyle w:val="ListParagraph"/>
        <w:rPr>
          <w:rFonts w:ascii="Times New Roman" w:hAnsi="Times New Roman" w:cs="Times New Roman"/>
          <w:bCs/>
          <w:iCs/>
          <w:sz w:val="24"/>
          <w:szCs w:val="24"/>
        </w:rPr>
      </w:pPr>
    </w:p>
    <w:p w:rsidR="0084147B" w:rsidRDefault="0084147B" w:rsidP="00B04A17">
      <w:pPr>
        <w:pStyle w:val="ListParagraph"/>
        <w:rPr>
          <w:rFonts w:ascii="Times New Roman" w:hAnsi="Times New Roman" w:cs="Times New Roman"/>
          <w:bCs/>
          <w:iCs/>
          <w:sz w:val="24"/>
          <w:szCs w:val="24"/>
        </w:rPr>
      </w:pPr>
    </w:p>
    <w:p w:rsidR="0084147B" w:rsidRDefault="0084147B" w:rsidP="00B04A17">
      <w:pPr>
        <w:pStyle w:val="ListParagraph"/>
        <w:rPr>
          <w:rFonts w:ascii="Times New Roman" w:hAnsi="Times New Roman" w:cs="Times New Roman"/>
          <w:bCs/>
          <w:iCs/>
          <w:sz w:val="24"/>
          <w:szCs w:val="24"/>
        </w:rPr>
      </w:pPr>
    </w:p>
    <w:p w:rsidR="002B3B62" w:rsidRPr="00E12CEA" w:rsidRDefault="002B3B62" w:rsidP="00B04A17">
      <w:pPr>
        <w:spacing w:after="0" w:line="240" w:lineRule="auto"/>
        <w:ind w:right="288"/>
        <w:jc w:val="both"/>
        <w:rPr>
          <w:rFonts w:ascii="Times New Roman" w:hAnsi="Times New Roman" w:cs="Times New Roman"/>
          <w:sz w:val="24"/>
          <w:szCs w:val="24"/>
        </w:rPr>
      </w:pPr>
      <w:r>
        <w:rPr>
          <w:rFonts w:ascii="Times New Roman" w:hAnsi="Times New Roman" w:cs="Times New Roman"/>
          <w:b/>
          <w:bCs/>
          <w:sz w:val="24"/>
          <w:szCs w:val="24"/>
        </w:rPr>
        <w:t>Shock Facilities: T</w:t>
      </w:r>
      <w:r w:rsidRPr="00E12CEA">
        <w:rPr>
          <w:rFonts w:ascii="Times New Roman" w:hAnsi="Times New Roman" w:cs="Times New Roman"/>
          <w:b/>
          <w:bCs/>
          <w:sz w:val="24"/>
          <w:szCs w:val="24"/>
        </w:rPr>
        <w:t>he World Bank and the Regional Development Banks</w:t>
      </w:r>
    </w:p>
    <w:p w:rsidR="002B3B62" w:rsidRDefault="002B3B62" w:rsidP="002B3B62">
      <w:pPr>
        <w:spacing w:after="0" w:line="240" w:lineRule="auto"/>
        <w:ind w:right="288"/>
        <w:jc w:val="both"/>
        <w:rPr>
          <w:rFonts w:ascii="Times New Roman" w:hAnsi="Times New Roman" w:cs="Times New Roman"/>
          <w:sz w:val="24"/>
          <w:szCs w:val="24"/>
        </w:rPr>
      </w:pPr>
    </w:p>
    <w:p w:rsidR="004C7351"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32</w:t>
      </w:r>
      <w:r w:rsidR="002B3B62" w:rsidRPr="00E12CEA">
        <w:rPr>
          <w:rFonts w:ascii="Times New Roman" w:hAnsi="Times New Roman" w:cs="Times New Roman"/>
          <w:sz w:val="24"/>
          <w:szCs w:val="24"/>
        </w:rPr>
        <w:t>.</w:t>
      </w:r>
      <w:r w:rsidR="002B3B62" w:rsidRPr="00E12CEA">
        <w:rPr>
          <w:rFonts w:ascii="Times New Roman" w:hAnsi="Times New Roman" w:cs="Times New Roman"/>
          <w:sz w:val="24"/>
          <w:szCs w:val="24"/>
        </w:rPr>
        <w:tab/>
      </w:r>
      <w:r w:rsidR="002B3B62">
        <w:rPr>
          <w:rFonts w:ascii="Times New Roman" w:hAnsi="Times New Roman" w:cs="Times New Roman"/>
          <w:sz w:val="24"/>
          <w:szCs w:val="24"/>
        </w:rPr>
        <w:t xml:space="preserve">In addition to the IMF’s response, </w:t>
      </w:r>
      <w:r w:rsidR="002B3B62" w:rsidRPr="00E12CEA">
        <w:rPr>
          <w:rFonts w:ascii="Times New Roman" w:hAnsi="Times New Roman" w:cs="Times New Roman"/>
          <w:sz w:val="24"/>
          <w:szCs w:val="24"/>
        </w:rPr>
        <w:t>M</w:t>
      </w:r>
      <w:r w:rsidR="002B3B62">
        <w:rPr>
          <w:rFonts w:ascii="Times New Roman" w:hAnsi="Times New Roman" w:cs="Times New Roman"/>
          <w:sz w:val="24"/>
          <w:szCs w:val="24"/>
        </w:rPr>
        <w:t xml:space="preserve">ultilateral </w:t>
      </w:r>
      <w:r w:rsidR="002B3B62" w:rsidRPr="00E12CEA">
        <w:rPr>
          <w:rFonts w:ascii="Times New Roman" w:hAnsi="Times New Roman" w:cs="Times New Roman"/>
          <w:sz w:val="24"/>
          <w:szCs w:val="24"/>
        </w:rPr>
        <w:t>D</w:t>
      </w:r>
      <w:r w:rsidR="002B3B62">
        <w:rPr>
          <w:rFonts w:ascii="Times New Roman" w:hAnsi="Times New Roman" w:cs="Times New Roman"/>
          <w:sz w:val="24"/>
          <w:szCs w:val="24"/>
        </w:rPr>
        <w:t xml:space="preserve">evelopment </w:t>
      </w:r>
      <w:r w:rsidR="002B3B62" w:rsidRPr="00E12CEA">
        <w:rPr>
          <w:rFonts w:ascii="Times New Roman" w:hAnsi="Times New Roman" w:cs="Times New Roman"/>
          <w:sz w:val="24"/>
          <w:szCs w:val="24"/>
        </w:rPr>
        <w:t>B</w:t>
      </w:r>
      <w:r w:rsidR="002B3B62">
        <w:rPr>
          <w:rFonts w:ascii="Times New Roman" w:hAnsi="Times New Roman" w:cs="Times New Roman"/>
          <w:sz w:val="24"/>
          <w:szCs w:val="24"/>
        </w:rPr>
        <w:t xml:space="preserve">anks (MDBs) </w:t>
      </w:r>
      <w:r w:rsidR="002B3B62" w:rsidRPr="00E12CEA">
        <w:rPr>
          <w:rFonts w:ascii="Times New Roman" w:hAnsi="Times New Roman" w:cs="Times New Roman"/>
          <w:sz w:val="24"/>
          <w:szCs w:val="24"/>
        </w:rPr>
        <w:t>rapidly increased lending commitments in response to the financial crisis. The World Bank responded strongly to the crisis by almost doubling lending commitments, from $25 billion in fiscal year 2008 to $47 billion in 200</w:t>
      </w:r>
      <w:r w:rsidR="004C7351">
        <w:rPr>
          <w:rFonts w:ascii="Times New Roman" w:hAnsi="Times New Roman" w:cs="Times New Roman"/>
          <w:sz w:val="24"/>
          <w:szCs w:val="24"/>
        </w:rPr>
        <w:t>9 and to $59 billion in 2010.</w:t>
      </w:r>
      <w:r w:rsidR="004C7351" w:rsidRPr="004C7351">
        <w:rPr>
          <w:rFonts w:ascii="Times New Roman" w:hAnsi="Times New Roman" w:cs="Times New Roman"/>
          <w:sz w:val="24"/>
          <w:szCs w:val="24"/>
        </w:rPr>
        <w:t xml:space="preserve"> </w:t>
      </w:r>
      <w:r w:rsidR="004C7351" w:rsidRPr="00E12CEA">
        <w:rPr>
          <w:rFonts w:ascii="Times New Roman" w:hAnsi="Times New Roman" w:cs="Times New Roman"/>
          <w:sz w:val="24"/>
          <w:szCs w:val="24"/>
        </w:rPr>
        <w:t>Some Regional Development Banks responses were also strong</w:t>
      </w:r>
      <w:r w:rsidR="00B96176">
        <w:rPr>
          <w:rFonts w:ascii="Times New Roman" w:hAnsi="Times New Roman" w:cs="Times New Roman"/>
          <w:sz w:val="24"/>
          <w:szCs w:val="24"/>
        </w:rPr>
        <w:t>,</w:t>
      </w:r>
      <w:r w:rsidR="004C7351">
        <w:rPr>
          <w:rFonts w:ascii="Times New Roman" w:hAnsi="Times New Roman" w:cs="Times New Roman"/>
          <w:sz w:val="24"/>
          <w:szCs w:val="24"/>
        </w:rPr>
        <w:t xml:space="preserve"> </w:t>
      </w:r>
      <w:r w:rsidR="004C7351" w:rsidRPr="00E12CEA">
        <w:rPr>
          <w:rFonts w:ascii="Times New Roman" w:hAnsi="Times New Roman" w:cs="Times New Roman"/>
          <w:sz w:val="24"/>
          <w:szCs w:val="24"/>
        </w:rPr>
        <w:t>with the AfDB increasing loan commitments by 137</w:t>
      </w:r>
      <w:r w:rsidR="0084147B">
        <w:rPr>
          <w:rFonts w:ascii="Times New Roman" w:hAnsi="Times New Roman" w:cs="Times New Roman"/>
          <w:sz w:val="24"/>
          <w:szCs w:val="24"/>
        </w:rPr>
        <w:t xml:space="preserve"> per cent</w:t>
      </w:r>
      <w:r w:rsidR="0084147B" w:rsidRPr="00E12CEA">
        <w:rPr>
          <w:rFonts w:ascii="Times New Roman" w:hAnsi="Times New Roman" w:cs="Times New Roman"/>
          <w:sz w:val="24"/>
          <w:szCs w:val="24"/>
        </w:rPr>
        <w:t xml:space="preserve"> </w:t>
      </w:r>
      <w:r w:rsidR="004C7351" w:rsidRPr="00E12CEA">
        <w:rPr>
          <w:rFonts w:ascii="Times New Roman" w:hAnsi="Times New Roman" w:cs="Times New Roman"/>
          <w:sz w:val="24"/>
          <w:szCs w:val="24"/>
        </w:rPr>
        <w:t>between 2008 and 2009 (see Figure 1).</w:t>
      </w:r>
    </w:p>
    <w:p w:rsidR="004C7351" w:rsidRDefault="004C7351" w:rsidP="006005F5">
      <w:pPr>
        <w:spacing w:after="0" w:line="240" w:lineRule="auto"/>
        <w:ind w:right="-45"/>
        <w:jc w:val="both"/>
        <w:rPr>
          <w:rFonts w:ascii="Times New Roman" w:hAnsi="Times New Roman" w:cs="Times New Roman"/>
          <w:sz w:val="24"/>
          <w:szCs w:val="24"/>
        </w:rPr>
      </w:pPr>
    </w:p>
    <w:p w:rsidR="004C7351"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33</w:t>
      </w:r>
      <w:r w:rsidR="004C7351">
        <w:rPr>
          <w:rFonts w:ascii="Times New Roman" w:hAnsi="Times New Roman" w:cs="Times New Roman"/>
          <w:sz w:val="24"/>
          <w:szCs w:val="24"/>
        </w:rPr>
        <w:t>.</w:t>
      </w:r>
      <w:r w:rsidR="004C7351">
        <w:rPr>
          <w:rFonts w:ascii="Times New Roman" w:hAnsi="Times New Roman" w:cs="Times New Roman"/>
          <w:sz w:val="24"/>
          <w:szCs w:val="24"/>
        </w:rPr>
        <w:tab/>
        <w:t>The World Bank delivered its response through four key mechanisms. Firstly, i</w:t>
      </w:r>
      <w:r w:rsidR="004C7351" w:rsidRPr="00E12CEA">
        <w:rPr>
          <w:rFonts w:ascii="Times New Roman" w:hAnsi="Times New Roman" w:cs="Times New Roman"/>
          <w:sz w:val="24"/>
          <w:szCs w:val="24"/>
        </w:rPr>
        <w:t xml:space="preserve">n 2009, a pilot </w:t>
      </w:r>
      <w:r w:rsidR="004C7351" w:rsidRPr="00B04A17">
        <w:rPr>
          <w:rFonts w:ascii="Times New Roman" w:hAnsi="Times New Roman" w:cs="Times New Roman"/>
          <w:b/>
          <w:sz w:val="24"/>
          <w:szCs w:val="24"/>
        </w:rPr>
        <w:t>IDA Crisis Response Window (CRW)</w:t>
      </w:r>
      <w:r w:rsidR="004C7351" w:rsidRPr="00E12CEA">
        <w:rPr>
          <w:rFonts w:ascii="Times New Roman" w:hAnsi="Times New Roman" w:cs="Times New Roman"/>
          <w:sz w:val="24"/>
          <w:szCs w:val="24"/>
        </w:rPr>
        <w:t xml:space="preserve"> was created for the remainder of the IDA 15 period. As of June 2011, $1.5 billion was committed under the pilot window; for IDA 16 a permanent CRW was established with resources capped at 5 per cent of the total IDA</w:t>
      </w:r>
      <w:r w:rsidR="006005F5">
        <w:rPr>
          <w:rFonts w:ascii="Times New Roman" w:hAnsi="Times New Roman" w:cs="Times New Roman"/>
          <w:sz w:val="24"/>
          <w:szCs w:val="24"/>
        </w:rPr>
        <w:t xml:space="preserve"> </w:t>
      </w:r>
      <w:r w:rsidR="004C7351" w:rsidRPr="00E12CEA">
        <w:rPr>
          <w:rFonts w:ascii="Times New Roman" w:hAnsi="Times New Roman" w:cs="Times New Roman"/>
          <w:sz w:val="24"/>
          <w:szCs w:val="24"/>
        </w:rPr>
        <w:t>16 replenishment resources. This new permanent facility represents a more systematic approach for IDA in dealing with economic shocks and natural disasters and aims to focus only on large scale natural disasters and exogenous economic shocks. Specific triggers are not used for automatic availability of the facility, but to activate consideration on a country case basis.</w:t>
      </w:r>
      <w:r w:rsidR="00066263">
        <w:rPr>
          <w:rFonts w:ascii="Times New Roman" w:hAnsi="Times New Roman" w:cs="Times New Roman"/>
          <w:sz w:val="24"/>
          <w:szCs w:val="24"/>
        </w:rPr>
        <w:t xml:space="preserve"> Triggers for consideration are as follows:</w:t>
      </w:r>
    </w:p>
    <w:p w:rsidR="00F67511" w:rsidRDefault="00F67511" w:rsidP="006005F5">
      <w:pPr>
        <w:tabs>
          <w:tab w:val="left" w:pos="567"/>
        </w:tabs>
        <w:spacing w:after="0" w:line="240" w:lineRule="auto"/>
        <w:ind w:right="-45"/>
        <w:jc w:val="both"/>
        <w:rPr>
          <w:rFonts w:ascii="Times New Roman" w:hAnsi="Times New Roman" w:cs="Times New Roman"/>
          <w:sz w:val="24"/>
          <w:szCs w:val="24"/>
        </w:rPr>
      </w:pPr>
    </w:p>
    <w:p w:rsidR="00F67511" w:rsidRPr="00B44AD8" w:rsidRDefault="00F67511" w:rsidP="006005F5">
      <w:pPr>
        <w:numPr>
          <w:ilvl w:val="0"/>
          <w:numId w:val="1"/>
        </w:numPr>
        <w:tabs>
          <w:tab w:val="left" w:pos="360"/>
        </w:tabs>
        <w:spacing w:after="0" w:line="240" w:lineRule="auto"/>
        <w:ind w:right="-45"/>
        <w:jc w:val="both"/>
        <w:rPr>
          <w:rFonts w:ascii="Times New Roman" w:hAnsi="Times New Roman" w:cs="Times New Roman"/>
          <w:sz w:val="24"/>
          <w:szCs w:val="24"/>
        </w:rPr>
      </w:pPr>
      <w:r w:rsidRPr="00B44AD8">
        <w:rPr>
          <w:rFonts w:ascii="Times New Roman" w:hAnsi="Times New Roman" w:cs="Times New Roman"/>
          <w:sz w:val="24"/>
          <w:szCs w:val="24"/>
        </w:rPr>
        <w:t>A year-on-year projected decline of GDP growth of at least 3 percentage points in a significant number of IDA countries. The 3 percentage point decline would identify countries eligible for CRW support. This is a very stringent requirement as few country projections of GDP growth reach a fall of 3</w:t>
      </w:r>
      <w:r w:rsidR="0084147B">
        <w:rPr>
          <w:rFonts w:ascii="Times New Roman" w:hAnsi="Times New Roman" w:cs="Times New Roman"/>
          <w:sz w:val="24"/>
          <w:szCs w:val="24"/>
        </w:rPr>
        <w:t xml:space="preserve"> per cent</w:t>
      </w:r>
      <w:r w:rsidR="0084147B" w:rsidRPr="00B44AD8">
        <w:rPr>
          <w:rFonts w:ascii="Times New Roman" w:hAnsi="Times New Roman" w:cs="Times New Roman"/>
          <w:sz w:val="24"/>
          <w:szCs w:val="24"/>
        </w:rPr>
        <w:t xml:space="preserve"> </w:t>
      </w:r>
      <w:r w:rsidRPr="00B44AD8">
        <w:rPr>
          <w:rFonts w:ascii="Times New Roman" w:hAnsi="Times New Roman" w:cs="Times New Roman"/>
          <w:sz w:val="24"/>
          <w:szCs w:val="24"/>
        </w:rPr>
        <w:t>or more; the probability of several LICs having such a sharp fall is even smaller. There may be a case for revisiting this criteria and making it less stringent.</w:t>
      </w:r>
    </w:p>
    <w:p w:rsidR="00F67511" w:rsidRPr="00B44AD8" w:rsidRDefault="00F67511" w:rsidP="006005F5">
      <w:pPr>
        <w:tabs>
          <w:tab w:val="left" w:pos="360"/>
        </w:tabs>
        <w:spacing w:after="0" w:line="240" w:lineRule="auto"/>
        <w:ind w:left="720" w:right="-45"/>
        <w:jc w:val="both"/>
        <w:rPr>
          <w:rFonts w:ascii="Times New Roman" w:hAnsi="Times New Roman" w:cs="Times New Roman"/>
          <w:sz w:val="24"/>
          <w:szCs w:val="24"/>
        </w:rPr>
      </w:pPr>
    </w:p>
    <w:p w:rsidR="00F67511" w:rsidRPr="00B44AD8" w:rsidRDefault="00F67511" w:rsidP="006005F5">
      <w:pPr>
        <w:numPr>
          <w:ilvl w:val="0"/>
          <w:numId w:val="1"/>
        </w:numPr>
        <w:tabs>
          <w:tab w:val="left" w:pos="360"/>
        </w:tabs>
        <w:spacing w:after="0" w:line="240" w:lineRule="auto"/>
        <w:ind w:right="-45"/>
        <w:jc w:val="both"/>
        <w:rPr>
          <w:rFonts w:ascii="Times New Roman" w:hAnsi="Times New Roman" w:cs="Times New Roman"/>
          <w:sz w:val="24"/>
          <w:szCs w:val="24"/>
        </w:rPr>
      </w:pPr>
      <w:r w:rsidRPr="00B44AD8">
        <w:rPr>
          <w:rFonts w:ascii="Times New Roman" w:hAnsi="Times New Roman" w:cs="Times New Roman"/>
          <w:sz w:val="24"/>
          <w:szCs w:val="24"/>
        </w:rPr>
        <w:t xml:space="preserve">This preliminary ring-fencing would be vetted by an analysis of available fiscal and other relevant data in line with the CRW objective to protect core spending in the short-term and avoid derailing long-term development objectives. </w:t>
      </w:r>
    </w:p>
    <w:p w:rsidR="00F67511" w:rsidRPr="00B44AD8" w:rsidRDefault="00F67511" w:rsidP="006005F5">
      <w:pPr>
        <w:tabs>
          <w:tab w:val="left" w:pos="360"/>
        </w:tabs>
        <w:spacing w:after="0" w:line="240" w:lineRule="auto"/>
        <w:ind w:left="720" w:right="-45"/>
        <w:jc w:val="both"/>
        <w:rPr>
          <w:rFonts w:ascii="Times New Roman" w:hAnsi="Times New Roman" w:cs="Times New Roman"/>
          <w:sz w:val="24"/>
          <w:szCs w:val="24"/>
        </w:rPr>
      </w:pPr>
    </w:p>
    <w:p w:rsidR="00F67511" w:rsidRDefault="00F67511" w:rsidP="00EE0E52">
      <w:pPr>
        <w:numPr>
          <w:ilvl w:val="0"/>
          <w:numId w:val="1"/>
        </w:numPr>
        <w:tabs>
          <w:tab w:val="left" w:pos="360"/>
        </w:tabs>
        <w:spacing w:after="0" w:line="240" w:lineRule="auto"/>
        <w:ind w:right="-45"/>
        <w:jc w:val="both"/>
        <w:rPr>
          <w:rFonts w:ascii="Times New Roman" w:hAnsi="Times New Roman" w:cs="Times New Roman"/>
          <w:sz w:val="24"/>
          <w:szCs w:val="24"/>
        </w:rPr>
      </w:pPr>
      <w:r w:rsidRPr="00B44AD8">
        <w:rPr>
          <w:rFonts w:ascii="Times New Roman" w:hAnsi="Times New Roman" w:cs="Times New Roman"/>
          <w:sz w:val="24"/>
          <w:szCs w:val="24"/>
        </w:rPr>
        <w:lastRenderedPageBreak/>
        <w:t>If a severe shock did not result in a GDP growth decline, CRW support could be considered exceptionally if: (i) the shock is deemed severe in terms of fiscal impact (i.e., additional spending to protect vulnerable groups); (ii) there is consensus a concerted international response is needed; and (iii) existing IDA allocations of affected countries are deemed insufficient.</w:t>
      </w:r>
    </w:p>
    <w:p w:rsidR="00066263" w:rsidRDefault="00066263" w:rsidP="00EE0E52">
      <w:pPr>
        <w:pStyle w:val="ListParagraph"/>
        <w:spacing w:after="0" w:line="240" w:lineRule="auto"/>
        <w:rPr>
          <w:rFonts w:ascii="Times New Roman" w:hAnsi="Times New Roman" w:cs="Times New Roman"/>
          <w:sz w:val="24"/>
          <w:szCs w:val="24"/>
        </w:rPr>
      </w:pPr>
    </w:p>
    <w:p w:rsidR="00066263" w:rsidRPr="00B44AD8" w:rsidRDefault="00066263" w:rsidP="00EE0E52">
      <w:pPr>
        <w:numPr>
          <w:ilvl w:val="0"/>
          <w:numId w:val="1"/>
        </w:numPr>
        <w:tabs>
          <w:tab w:val="left" w:pos="360"/>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Strengthening the trigger mechanisms for the Co</w:t>
      </w:r>
      <w:r w:rsidR="00E9189B">
        <w:rPr>
          <w:rFonts w:ascii="Times New Roman" w:hAnsi="Times New Roman" w:cs="Times New Roman"/>
          <w:sz w:val="24"/>
          <w:szCs w:val="24"/>
        </w:rPr>
        <w:t>mmonwealth would greatly assist the Commonwealth developing countries. Do Ministers have any specific views or preferences as to how best this mechanism can be strengthened?</w:t>
      </w:r>
    </w:p>
    <w:p w:rsidR="004C7351" w:rsidRDefault="004C7351" w:rsidP="006005F5">
      <w:pPr>
        <w:spacing w:after="0" w:line="240" w:lineRule="auto"/>
        <w:ind w:right="-45"/>
        <w:jc w:val="both"/>
        <w:rPr>
          <w:rFonts w:ascii="Times New Roman" w:hAnsi="Times New Roman" w:cs="Times New Roman"/>
          <w:sz w:val="24"/>
          <w:szCs w:val="24"/>
        </w:rPr>
      </w:pPr>
    </w:p>
    <w:p w:rsidR="004C7351" w:rsidRPr="00B04A17" w:rsidRDefault="00C57678" w:rsidP="006005F5">
      <w:pPr>
        <w:tabs>
          <w:tab w:val="left" w:pos="567"/>
        </w:tabs>
        <w:spacing w:after="0" w:line="240" w:lineRule="auto"/>
        <w:ind w:right="-45"/>
        <w:jc w:val="both"/>
        <w:rPr>
          <w:rFonts w:ascii="Times New Roman" w:hAnsi="Times New Roman" w:cs="Times New Roman"/>
          <w:i/>
          <w:iCs/>
          <w:sz w:val="24"/>
          <w:szCs w:val="24"/>
        </w:rPr>
      </w:pPr>
      <w:r>
        <w:rPr>
          <w:rFonts w:ascii="Times New Roman" w:hAnsi="Times New Roman" w:cs="Times New Roman"/>
          <w:sz w:val="24"/>
          <w:szCs w:val="24"/>
        </w:rPr>
        <w:t>34</w:t>
      </w:r>
      <w:r w:rsidR="004C7351">
        <w:rPr>
          <w:rFonts w:ascii="Times New Roman" w:hAnsi="Times New Roman" w:cs="Times New Roman"/>
          <w:sz w:val="24"/>
          <w:szCs w:val="24"/>
        </w:rPr>
        <w:t>.</w:t>
      </w:r>
      <w:r w:rsidR="004C7351">
        <w:rPr>
          <w:rFonts w:ascii="Times New Roman" w:hAnsi="Times New Roman" w:cs="Times New Roman"/>
          <w:sz w:val="24"/>
          <w:szCs w:val="24"/>
        </w:rPr>
        <w:tab/>
        <w:t>Secondly, i</w:t>
      </w:r>
      <w:r w:rsidR="004C7351" w:rsidRPr="00E12CEA">
        <w:rPr>
          <w:rFonts w:ascii="Times New Roman" w:hAnsi="Times New Roman" w:cs="Times New Roman"/>
          <w:sz w:val="24"/>
          <w:szCs w:val="24"/>
        </w:rPr>
        <w:t>n December 2011, the World Bank approved a</w:t>
      </w:r>
      <w:r w:rsidR="004C7351">
        <w:rPr>
          <w:rFonts w:ascii="Times New Roman" w:hAnsi="Times New Roman" w:cs="Times New Roman"/>
          <w:sz w:val="24"/>
          <w:szCs w:val="24"/>
        </w:rPr>
        <w:t xml:space="preserve"> new mechanism, the </w:t>
      </w:r>
      <w:r w:rsidR="004C7351" w:rsidRPr="00B04A17">
        <w:rPr>
          <w:rFonts w:ascii="Times New Roman" w:hAnsi="Times New Roman" w:cs="Times New Roman"/>
          <w:b/>
          <w:sz w:val="24"/>
          <w:szCs w:val="24"/>
        </w:rPr>
        <w:t>Immediate Response Mechanism (IRM)</w:t>
      </w:r>
      <w:r w:rsidR="004C7351">
        <w:rPr>
          <w:rFonts w:ascii="Times New Roman" w:hAnsi="Times New Roman" w:cs="Times New Roman"/>
          <w:sz w:val="24"/>
          <w:szCs w:val="24"/>
        </w:rPr>
        <w:t xml:space="preserve">, </w:t>
      </w:r>
      <w:r w:rsidR="004C7351" w:rsidRPr="00E12CEA">
        <w:rPr>
          <w:rFonts w:ascii="Times New Roman" w:hAnsi="Times New Roman" w:cs="Times New Roman"/>
          <w:sz w:val="24"/>
          <w:szCs w:val="24"/>
        </w:rPr>
        <w:t>enabling LICs quick, but limited access to funding during a crisis, providing emergency finance to countries within weeks of a crisis. This would complement longer term emergency financing measures such as the CRW, that typically take around seven months for approval and a further four months to be effective.</w:t>
      </w:r>
      <w:r w:rsidR="004C7351">
        <w:rPr>
          <w:rFonts w:ascii="Times New Roman" w:hAnsi="Times New Roman" w:cs="Times New Roman"/>
          <w:i/>
          <w:iCs/>
          <w:sz w:val="24"/>
          <w:szCs w:val="24"/>
        </w:rPr>
        <w:t xml:space="preserve"> </w:t>
      </w:r>
      <w:r w:rsidR="004C7351" w:rsidRPr="00E12CEA">
        <w:rPr>
          <w:rFonts w:ascii="Times New Roman" w:hAnsi="Times New Roman" w:cs="Times New Roman"/>
          <w:sz w:val="24"/>
          <w:szCs w:val="24"/>
        </w:rPr>
        <w:t>Funding is not additional to the agreed IDA country allocation, but is drawn from funds committed, but not yet disbursed, under existing investment projects. The IRM will allow IDA countries to rapidly access up to 5 per cent of their undisbursed IDA investment project balances following natural disasters and severe economic shocks. Small states and countries with small undisbursed balances will be able to access up to $ 5 million.</w:t>
      </w:r>
      <w:r w:rsidR="004C7351">
        <w:rPr>
          <w:rFonts w:ascii="Times New Roman" w:hAnsi="Times New Roman" w:cs="Times New Roman"/>
          <w:sz w:val="24"/>
          <w:szCs w:val="24"/>
        </w:rPr>
        <w:t xml:space="preserve">  For B</w:t>
      </w:r>
      <w:r w:rsidR="004C7351" w:rsidRPr="00E12CEA">
        <w:rPr>
          <w:rFonts w:ascii="Times New Roman" w:hAnsi="Times New Roman" w:cs="Times New Roman"/>
          <w:sz w:val="24"/>
          <w:szCs w:val="24"/>
        </w:rPr>
        <w:t xml:space="preserve">orrowers </w:t>
      </w:r>
      <w:r w:rsidR="004C7351">
        <w:rPr>
          <w:rFonts w:ascii="Times New Roman" w:hAnsi="Times New Roman" w:cs="Times New Roman"/>
          <w:sz w:val="24"/>
          <w:szCs w:val="24"/>
        </w:rPr>
        <w:t xml:space="preserve">must include contingency emergency response components and agree on implementation arrangements in order </w:t>
      </w:r>
      <w:r w:rsidR="004C7351" w:rsidRPr="00E12CEA">
        <w:rPr>
          <w:rFonts w:ascii="Times New Roman" w:hAnsi="Times New Roman" w:cs="Times New Roman"/>
          <w:sz w:val="24"/>
          <w:szCs w:val="24"/>
        </w:rPr>
        <w:t>to access IRM funds</w:t>
      </w:r>
      <w:r w:rsidR="004C7351">
        <w:rPr>
          <w:rFonts w:ascii="Times New Roman" w:hAnsi="Times New Roman" w:cs="Times New Roman"/>
          <w:sz w:val="24"/>
          <w:szCs w:val="24"/>
        </w:rPr>
        <w:t>.</w:t>
      </w:r>
      <w:r w:rsidR="004C7351" w:rsidRPr="00E12CEA">
        <w:rPr>
          <w:rFonts w:ascii="Times New Roman" w:hAnsi="Times New Roman" w:cs="Times New Roman"/>
          <w:sz w:val="24"/>
          <w:szCs w:val="24"/>
        </w:rPr>
        <w:t xml:space="preserve"> </w:t>
      </w:r>
      <w:r w:rsidR="00F67511">
        <w:rPr>
          <w:rFonts w:ascii="Times New Roman" w:hAnsi="Times New Roman" w:cs="Times New Roman"/>
          <w:sz w:val="24"/>
          <w:szCs w:val="24"/>
        </w:rPr>
        <w:t xml:space="preserve">By late July 2012 </w:t>
      </w:r>
      <w:r w:rsidR="004C7351" w:rsidRPr="00E12CEA">
        <w:rPr>
          <w:rFonts w:ascii="Times New Roman" w:hAnsi="Times New Roman" w:cs="Times New Roman"/>
          <w:sz w:val="24"/>
          <w:szCs w:val="24"/>
        </w:rPr>
        <w:t>IRM had not yet been used by any country</w:t>
      </w:r>
      <w:r w:rsidR="00F67511">
        <w:rPr>
          <w:rFonts w:ascii="Times New Roman" w:hAnsi="Times New Roman" w:cs="Times New Roman"/>
          <w:sz w:val="24"/>
          <w:szCs w:val="24"/>
        </w:rPr>
        <w:t>.</w:t>
      </w:r>
      <w:r w:rsidR="004C7351" w:rsidRPr="00E12CEA">
        <w:rPr>
          <w:rFonts w:ascii="Times New Roman" w:hAnsi="Times New Roman" w:cs="Times New Roman"/>
          <w:sz w:val="24"/>
          <w:szCs w:val="24"/>
        </w:rPr>
        <w:t xml:space="preserve"> Whilst potentially useful in terms of flexibility, the scale of resources that can be reallocated seem somewhat limited.</w:t>
      </w:r>
    </w:p>
    <w:p w:rsidR="004C7351" w:rsidRDefault="004C7351" w:rsidP="006005F5">
      <w:pPr>
        <w:spacing w:after="0" w:line="240" w:lineRule="auto"/>
        <w:ind w:right="-45"/>
        <w:jc w:val="both"/>
        <w:rPr>
          <w:rFonts w:ascii="Times New Roman" w:hAnsi="Times New Roman" w:cs="Times New Roman"/>
          <w:sz w:val="24"/>
          <w:szCs w:val="24"/>
        </w:rPr>
      </w:pPr>
    </w:p>
    <w:p w:rsidR="00770EEB" w:rsidRPr="00E12CEA"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35</w:t>
      </w:r>
      <w:r w:rsidR="004C7351">
        <w:rPr>
          <w:rFonts w:ascii="Times New Roman" w:hAnsi="Times New Roman" w:cs="Times New Roman"/>
          <w:sz w:val="24"/>
          <w:szCs w:val="24"/>
        </w:rPr>
        <w:t>.</w:t>
      </w:r>
      <w:r w:rsidR="004C7351">
        <w:rPr>
          <w:rFonts w:ascii="Times New Roman" w:hAnsi="Times New Roman" w:cs="Times New Roman"/>
          <w:sz w:val="24"/>
          <w:szCs w:val="24"/>
        </w:rPr>
        <w:tab/>
        <w:t xml:space="preserve">Thirdly, </w:t>
      </w:r>
      <w:r w:rsidR="00770EEB" w:rsidRPr="00E12CEA">
        <w:rPr>
          <w:rFonts w:ascii="Times New Roman" w:hAnsi="Times New Roman" w:cs="Times New Roman"/>
          <w:sz w:val="24"/>
          <w:szCs w:val="24"/>
        </w:rPr>
        <w:t xml:space="preserve">the World Bank Group set up the </w:t>
      </w:r>
      <w:r w:rsidR="00770EEB" w:rsidRPr="00B04A17">
        <w:rPr>
          <w:rFonts w:ascii="Times New Roman" w:hAnsi="Times New Roman" w:cs="Times New Roman"/>
          <w:b/>
          <w:sz w:val="24"/>
          <w:szCs w:val="24"/>
        </w:rPr>
        <w:t>Global Food Crisis Response Programme (GFRP)</w:t>
      </w:r>
      <w:r w:rsidR="00770EEB" w:rsidRPr="00E12CEA">
        <w:rPr>
          <w:rFonts w:ascii="Times New Roman" w:hAnsi="Times New Roman" w:cs="Times New Roman"/>
          <w:sz w:val="24"/>
          <w:szCs w:val="24"/>
        </w:rPr>
        <w:t xml:space="preserve"> in May 2008 to provide immediate relief to countries hard hit by food high prices. Between 2008 and 2010, $2.0 billion of World Bank funds, was made available. The food programme consisted of a number of components but is centred on support to agriculture and food-related social programs. The latter included school meals, cash and food for work programs and nutritional supplements. Only IDA countries are eligible. </w:t>
      </w:r>
      <w:r w:rsidR="00770EEB">
        <w:rPr>
          <w:rFonts w:ascii="Times New Roman" w:hAnsi="Times New Roman" w:cs="Times New Roman"/>
          <w:sz w:val="24"/>
          <w:szCs w:val="24"/>
        </w:rPr>
        <w:t xml:space="preserve">And </w:t>
      </w:r>
      <w:r w:rsidR="00F67511">
        <w:rPr>
          <w:rFonts w:ascii="Times New Roman" w:hAnsi="Times New Roman" w:cs="Times New Roman"/>
          <w:sz w:val="24"/>
          <w:szCs w:val="24"/>
        </w:rPr>
        <w:t xml:space="preserve">fourthly, </w:t>
      </w:r>
      <w:r w:rsidR="00770EEB" w:rsidRPr="00E12CEA">
        <w:rPr>
          <w:rFonts w:ascii="Times New Roman" w:hAnsi="Times New Roman" w:cs="Times New Roman"/>
          <w:sz w:val="24"/>
          <w:szCs w:val="24"/>
        </w:rPr>
        <w:t xml:space="preserve">the World Bank created a specific new programme </w:t>
      </w:r>
      <w:r w:rsidR="00770EEB">
        <w:rPr>
          <w:rFonts w:ascii="Times New Roman" w:hAnsi="Times New Roman" w:cs="Times New Roman"/>
          <w:sz w:val="24"/>
          <w:szCs w:val="24"/>
        </w:rPr>
        <w:t xml:space="preserve">– the </w:t>
      </w:r>
      <w:r w:rsidR="00770EEB" w:rsidRPr="00B04A17">
        <w:rPr>
          <w:rFonts w:ascii="Times New Roman" w:hAnsi="Times New Roman" w:cs="Times New Roman"/>
          <w:b/>
          <w:sz w:val="24"/>
          <w:szCs w:val="24"/>
        </w:rPr>
        <w:t>Rapid Social Response Programme</w:t>
      </w:r>
      <w:r w:rsidR="00770EEB">
        <w:rPr>
          <w:rFonts w:ascii="Times New Roman" w:hAnsi="Times New Roman" w:cs="Times New Roman"/>
          <w:sz w:val="24"/>
          <w:szCs w:val="24"/>
        </w:rPr>
        <w:t xml:space="preserve"> - </w:t>
      </w:r>
      <w:r w:rsidR="00770EEB" w:rsidRPr="00E12CEA">
        <w:rPr>
          <w:rFonts w:ascii="Times New Roman" w:hAnsi="Times New Roman" w:cs="Times New Roman"/>
          <w:sz w:val="24"/>
          <w:szCs w:val="24"/>
        </w:rPr>
        <w:t>to support LICs in promoting social protection measures and maintaining access to basic social services.</w:t>
      </w:r>
      <w:r w:rsidR="00770EEB">
        <w:rPr>
          <w:rFonts w:ascii="Times New Roman" w:hAnsi="Times New Roman" w:cs="Times New Roman"/>
          <w:sz w:val="24"/>
          <w:szCs w:val="24"/>
        </w:rPr>
        <w:t xml:space="preserve"> </w:t>
      </w:r>
      <w:r w:rsidR="00770EEB" w:rsidRPr="00E12CEA">
        <w:rPr>
          <w:rFonts w:ascii="Times New Roman" w:hAnsi="Times New Roman" w:cs="Times New Roman"/>
          <w:sz w:val="24"/>
          <w:szCs w:val="24"/>
        </w:rPr>
        <w:t>The programme aims to coordinate, monitor and report on</w:t>
      </w:r>
      <w:r w:rsidR="00F67511">
        <w:rPr>
          <w:rFonts w:ascii="Times New Roman" w:hAnsi="Times New Roman" w:cs="Times New Roman"/>
          <w:sz w:val="24"/>
          <w:szCs w:val="24"/>
        </w:rPr>
        <w:t xml:space="preserve"> </w:t>
      </w:r>
      <w:r w:rsidR="00C560FF">
        <w:rPr>
          <w:rFonts w:ascii="Times New Roman" w:hAnsi="Times New Roman" w:cs="Times New Roman"/>
          <w:sz w:val="24"/>
          <w:szCs w:val="24"/>
        </w:rPr>
        <w:t xml:space="preserve">the </w:t>
      </w:r>
      <w:r w:rsidR="00C560FF" w:rsidRPr="00E12CEA">
        <w:rPr>
          <w:rFonts w:ascii="Times New Roman" w:hAnsi="Times New Roman" w:cs="Times New Roman"/>
          <w:sz w:val="24"/>
          <w:szCs w:val="24"/>
        </w:rPr>
        <w:t>Bank’s</w:t>
      </w:r>
      <w:r w:rsidR="00770EEB" w:rsidRPr="00E12CEA">
        <w:rPr>
          <w:rFonts w:ascii="Times New Roman" w:hAnsi="Times New Roman" w:cs="Times New Roman"/>
          <w:sz w:val="24"/>
          <w:szCs w:val="24"/>
        </w:rPr>
        <w:t xml:space="preserve"> response in thematic areas of safety nets, labour, and access to basic social services and to channel additional donor grant contributions to leverage IDA resources. Priority is given to lower income countries, especially fragile states, states with inadequate social policy responses and states with limited fiscal resources. Total funding for this facility </w:t>
      </w:r>
      <w:r w:rsidR="00770EEB">
        <w:rPr>
          <w:rFonts w:ascii="Times New Roman" w:hAnsi="Times New Roman" w:cs="Times New Roman"/>
          <w:sz w:val="24"/>
          <w:szCs w:val="24"/>
        </w:rPr>
        <w:t xml:space="preserve">has </w:t>
      </w:r>
      <w:r w:rsidR="00770EEB" w:rsidRPr="00E12CEA">
        <w:rPr>
          <w:rFonts w:ascii="Times New Roman" w:hAnsi="Times New Roman" w:cs="Times New Roman"/>
          <w:sz w:val="24"/>
          <w:szCs w:val="24"/>
        </w:rPr>
        <w:t>reached $260 million.</w:t>
      </w:r>
    </w:p>
    <w:p w:rsidR="00770EEB" w:rsidRDefault="00770EEB" w:rsidP="006005F5">
      <w:pPr>
        <w:spacing w:after="0" w:line="240" w:lineRule="auto"/>
        <w:ind w:right="-45"/>
        <w:jc w:val="both"/>
        <w:rPr>
          <w:rFonts w:ascii="Times New Roman" w:hAnsi="Times New Roman" w:cs="Times New Roman"/>
          <w:sz w:val="24"/>
          <w:szCs w:val="24"/>
        </w:rPr>
      </w:pPr>
    </w:p>
    <w:p w:rsidR="00770EEB"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36</w:t>
      </w:r>
      <w:r w:rsidR="00923E35">
        <w:rPr>
          <w:rFonts w:ascii="Times New Roman" w:hAnsi="Times New Roman" w:cs="Times New Roman"/>
          <w:sz w:val="24"/>
          <w:szCs w:val="24"/>
        </w:rPr>
        <w:t>.</w:t>
      </w:r>
      <w:r w:rsidR="00923E35">
        <w:rPr>
          <w:rFonts w:ascii="Times New Roman" w:hAnsi="Times New Roman" w:cs="Times New Roman"/>
          <w:sz w:val="24"/>
          <w:szCs w:val="24"/>
        </w:rPr>
        <w:tab/>
      </w:r>
      <w:r w:rsidR="00770EEB" w:rsidRPr="005F6851">
        <w:rPr>
          <w:rFonts w:ascii="Times New Roman" w:hAnsi="Times New Roman" w:cs="Times New Roman"/>
          <w:b/>
          <w:sz w:val="24"/>
          <w:szCs w:val="24"/>
        </w:rPr>
        <w:t>Overall, the MDBs responded substantially to the crisis.</w:t>
      </w:r>
      <w:r w:rsidR="00770EEB">
        <w:rPr>
          <w:rFonts w:ascii="Times New Roman" w:hAnsi="Times New Roman" w:cs="Times New Roman"/>
          <w:sz w:val="24"/>
          <w:szCs w:val="24"/>
        </w:rPr>
        <w:t xml:space="preserve"> T</w:t>
      </w:r>
      <w:r w:rsidR="00770EEB" w:rsidRPr="00E12CEA">
        <w:rPr>
          <w:rFonts w:ascii="Times New Roman" w:hAnsi="Times New Roman" w:cs="Times New Roman"/>
          <w:sz w:val="24"/>
          <w:szCs w:val="24"/>
        </w:rPr>
        <w:t xml:space="preserve">he crisis demonstrated the </w:t>
      </w:r>
      <w:r w:rsidR="00770EEB" w:rsidRPr="00E12CEA">
        <w:rPr>
          <w:rFonts w:ascii="Times New Roman" w:hAnsi="Times New Roman" w:cs="Times New Roman"/>
          <w:b/>
          <w:bCs/>
          <w:sz w:val="24"/>
          <w:szCs w:val="24"/>
        </w:rPr>
        <w:t>crucial countercyclical role</w:t>
      </w:r>
      <w:r w:rsidR="00770EEB" w:rsidRPr="00E12CEA">
        <w:rPr>
          <w:rFonts w:ascii="Times New Roman" w:hAnsi="Times New Roman" w:cs="Times New Roman"/>
          <w:sz w:val="24"/>
          <w:szCs w:val="24"/>
        </w:rPr>
        <w:t xml:space="preserve"> that they can play when shocks occur. Furthermore, for the first time this valuable role was given open recognition. Whilst the international community had emphasized the role that MDBs play in poverty reduction and the provision of global public goods, this counter-cyclical role was not clearly recogni</w:t>
      </w:r>
      <w:r w:rsidR="00770491">
        <w:rPr>
          <w:rFonts w:ascii="Times New Roman" w:hAnsi="Times New Roman" w:cs="Times New Roman"/>
          <w:sz w:val="24"/>
          <w:szCs w:val="24"/>
        </w:rPr>
        <w:t>s</w:t>
      </w:r>
      <w:r w:rsidR="00770EEB" w:rsidRPr="00E12CEA">
        <w:rPr>
          <w:rFonts w:ascii="Times New Roman" w:hAnsi="Times New Roman" w:cs="Times New Roman"/>
          <w:sz w:val="24"/>
          <w:szCs w:val="24"/>
        </w:rPr>
        <w:t xml:space="preserve">ed. This missed many </w:t>
      </w:r>
      <w:r w:rsidR="00770EEB" w:rsidRPr="00E12CEA">
        <w:rPr>
          <w:rFonts w:ascii="Times New Roman" w:hAnsi="Times New Roman" w:cs="Times New Roman"/>
          <w:b/>
          <w:sz w:val="24"/>
          <w:szCs w:val="24"/>
        </w:rPr>
        <w:t>lessons from past experience, which indicated that, aside from provision of liquidity during crises, it is equally important to provide official long-term finance when private finance dries up during and after crises, not least to maintain the d</w:t>
      </w:r>
      <w:r w:rsidR="00770EEB">
        <w:rPr>
          <w:rFonts w:ascii="Times New Roman" w:hAnsi="Times New Roman" w:cs="Times New Roman"/>
          <w:b/>
          <w:sz w:val="24"/>
          <w:szCs w:val="24"/>
        </w:rPr>
        <w:t xml:space="preserve">ynamics of investment projects. </w:t>
      </w:r>
      <w:r w:rsidR="00770EEB" w:rsidRPr="00E12CEA">
        <w:rPr>
          <w:rFonts w:ascii="Times New Roman" w:hAnsi="Times New Roman" w:cs="Times New Roman"/>
          <w:sz w:val="24"/>
          <w:szCs w:val="24"/>
        </w:rPr>
        <w:t xml:space="preserve">In addition a very positive feature of the MDB response was that a number of targeted large regional initiatives were launched, mainly working jointly with other institutions, notably the </w:t>
      </w:r>
      <w:r w:rsidR="00770EEB" w:rsidRPr="00E12CEA">
        <w:rPr>
          <w:rFonts w:ascii="Times New Roman" w:hAnsi="Times New Roman" w:cs="Times New Roman"/>
          <w:sz w:val="24"/>
          <w:szCs w:val="24"/>
        </w:rPr>
        <w:lastRenderedPageBreak/>
        <w:t>World Bank working together with regional development banks (RDBs). Examples are the Joint Plans in Africa, Latin America and the Caribbean, and for Central and Eastern Europe (Te Velde and Massa, I. et al., op cit, for more details). The massive needs caused by the crisis pushed these institutions to collaborate rather than compete.</w:t>
      </w:r>
    </w:p>
    <w:p w:rsidR="00770EEB" w:rsidRDefault="00770EEB" w:rsidP="006005F5">
      <w:pPr>
        <w:spacing w:after="0" w:line="240" w:lineRule="auto"/>
        <w:ind w:right="-45"/>
        <w:jc w:val="both"/>
        <w:rPr>
          <w:rFonts w:ascii="Times New Roman" w:hAnsi="Times New Roman" w:cs="Times New Roman"/>
          <w:sz w:val="24"/>
          <w:szCs w:val="24"/>
        </w:rPr>
      </w:pPr>
    </w:p>
    <w:p w:rsidR="002B3B62" w:rsidRPr="00E12CEA"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37</w:t>
      </w:r>
      <w:r w:rsidR="00770EEB">
        <w:rPr>
          <w:rFonts w:ascii="Times New Roman" w:hAnsi="Times New Roman" w:cs="Times New Roman"/>
          <w:sz w:val="24"/>
          <w:szCs w:val="24"/>
        </w:rPr>
        <w:t xml:space="preserve">. </w:t>
      </w:r>
      <w:r w:rsidR="008C5382">
        <w:rPr>
          <w:rFonts w:ascii="Times New Roman" w:hAnsi="Times New Roman" w:cs="Times New Roman"/>
          <w:sz w:val="24"/>
          <w:szCs w:val="24"/>
        </w:rPr>
        <w:tab/>
      </w:r>
      <w:r w:rsidR="00770EEB">
        <w:rPr>
          <w:rFonts w:ascii="Times New Roman" w:hAnsi="Times New Roman" w:cs="Times New Roman"/>
          <w:sz w:val="24"/>
          <w:szCs w:val="24"/>
        </w:rPr>
        <w:t xml:space="preserve">At the same time however, </w:t>
      </w:r>
      <w:r w:rsidR="002B3B62" w:rsidRPr="00E12CEA">
        <w:rPr>
          <w:rFonts w:ascii="Times New Roman" w:hAnsi="Times New Roman" w:cs="Times New Roman"/>
          <w:sz w:val="24"/>
          <w:szCs w:val="24"/>
        </w:rPr>
        <w:t xml:space="preserve">three issues were important in constraining </w:t>
      </w:r>
      <w:r w:rsidR="00770EEB">
        <w:rPr>
          <w:rFonts w:ascii="Times New Roman" w:hAnsi="Times New Roman" w:cs="Times New Roman"/>
          <w:sz w:val="24"/>
          <w:szCs w:val="24"/>
        </w:rPr>
        <w:t xml:space="preserve">both </w:t>
      </w:r>
      <w:r w:rsidR="002B3B62" w:rsidRPr="00E12CEA">
        <w:rPr>
          <w:rFonts w:ascii="Times New Roman" w:hAnsi="Times New Roman" w:cs="Times New Roman"/>
          <w:sz w:val="24"/>
          <w:szCs w:val="24"/>
        </w:rPr>
        <w:t xml:space="preserve">the response </w:t>
      </w:r>
      <w:r w:rsidR="00770EEB">
        <w:rPr>
          <w:rFonts w:ascii="Times New Roman" w:hAnsi="Times New Roman" w:cs="Times New Roman"/>
          <w:sz w:val="24"/>
          <w:szCs w:val="24"/>
        </w:rPr>
        <w:t xml:space="preserve">and the </w:t>
      </w:r>
      <w:r w:rsidR="002B3B62" w:rsidRPr="00E12CEA">
        <w:rPr>
          <w:rFonts w:ascii="Times New Roman" w:hAnsi="Times New Roman" w:cs="Times New Roman"/>
          <w:sz w:val="24"/>
          <w:szCs w:val="24"/>
        </w:rPr>
        <w:t>timeliness</w:t>
      </w:r>
      <w:r w:rsidR="00770EEB">
        <w:rPr>
          <w:rFonts w:ascii="Times New Roman" w:hAnsi="Times New Roman" w:cs="Times New Roman"/>
          <w:sz w:val="24"/>
          <w:szCs w:val="24"/>
        </w:rPr>
        <w:t xml:space="preserve"> of the MDBs’ response</w:t>
      </w:r>
      <w:r w:rsidR="002B3B62" w:rsidRPr="00E12CEA">
        <w:rPr>
          <w:rFonts w:ascii="Times New Roman" w:hAnsi="Times New Roman" w:cs="Times New Roman"/>
          <w:sz w:val="24"/>
          <w:szCs w:val="24"/>
        </w:rPr>
        <w:t xml:space="preserve">. </w:t>
      </w:r>
      <w:r w:rsidR="002B3B62" w:rsidRPr="00B04A17">
        <w:rPr>
          <w:rFonts w:ascii="Times New Roman" w:hAnsi="Times New Roman" w:cs="Times New Roman"/>
          <w:b/>
          <w:sz w:val="24"/>
          <w:szCs w:val="24"/>
        </w:rPr>
        <w:t>Firstly, the response was partly constrained by the limitation of their capital</w:t>
      </w:r>
      <w:r w:rsidR="002B3B62" w:rsidRPr="00E12CEA">
        <w:rPr>
          <w:rFonts w:ascii="Times New Roman" w:hAnsi="Times New Roman" w:cs="Times New Roman"/>
          <w:sz w:val="24"/>
          <w:szCs w:val="24"/>
        </w:rPr>
        <w:t xml:space="preserve"> (Te Velde and Massa, I. et al., 2009). In April 2009, the G-20 agreed to support, if necessary, the recapitalization of MDBs to enable increased lending. The Asian Development Bank agreed, in April 2009, to a capital stock increase of 200</w:t>
      </w:r>
      <w:r w:rsidR="0084147B">
        <w:rPr>
          <w:rFonts w:ascii="Times New Roman" w:hAnsi="Times New Roman" w:cs="Times New Roman"/>
          <w:sz w:val="24"/>
          <w:szCs w:val="24"/>
        </w:rPr>
        <w:t xml:space="preserve"> per cent, </w:t>
      </w:r>
      <w:r w:rsidR="002B3B62">
        <w:rPr>
          <w:rFonts w:ascii="Times New Roman" w:hAnsi="Times New Roman" w:cs="Times New Roman"/>
          <w:sz w:val="24"/>
          <w:szCs w:val="24"/>
        </w:rPr>
        <w:t>from $55 billion</w:t>
      </w:r>
      <w:r w:rsidR="002B3B62" w:rsidRPr="00E12CEA">
        <w:rPr>
          <w:rFonts w:ascii="Times New Roman" w:hAnsi="Times New Roman" w:cs="Times New Roman"/>
          <w:sz w:val="24"/>
          <w:szCs w:val="24"/>
        </w:rPr>
        <w:t xml:space="preserve"> to $165 billion</w:t>
      </w:r>
      <w:r w:rsidR="00923E35">
        <w:rPr>
          <w:rFonts w:ascii="Times New Roman" w:hAnsi="Times New Roman" w:cs="Times New Roman"/>
          <w:sz w:val="24"/>
          <w:szCs w:val="24"/>
        </w:rPr>
        <w:t>;</w:t>
      </w:r>
      <w:r w:rsidR="002B3B62" w:rsidRPr="00E12CEA">
        <w:rPr>
          <w:rFonts w:ascii="Times New Roman" w:hAnsi="Times New Roman" w:cs="Times New Roman"/>
          <w:sz w:val="24"/>
          <w:szCs w:val="24"/>
        </w:rPr>
        <w:t xml:space="preserve"> </w:t>
      </w:r>
      <w:r w:rsidR="002B3B62">
        <w:rPr>
          <w:rFonts w:ascii="Times New Roman" w:hAnsi="Times New Roman" w:cs="Times New Roman"/>
          <w:sz w:val="24"/>
          <w:szCs w:val="24"/>
        </w:rPr>
        <w:t>a</w:t>
      </w:r>
      <w:r w:rsidR="002B3B62" w:rsidRPr="00E12CEA">
        <w:rPr>
          <w:rFonts w:ascii="Times New Roman" w:hAnsi="Times New Roman" w:cs="Times New Roman"/>
          <w:sz w:val="24"/>
          <w:szCs w:val="24"/>
        </w:rPr>
        <w:t>nd the capital of the AfDB was</w:t>
      </w:r>
      <w:r w:rsidR="00923E35">
        <w:rPr>
          <w:rFonts w:ascii="Times New Roman" w:hAnsi="Times New Roman" w:cs="Times New Roman"/>
          <w:sz w:val="24"/>
          <w:szCs w:val="24"/>
        </w:rPr>
        <w:t xml:space="preserve"> increased by 200</w:t>
      </w:r>
      <w:r w:rsidR="00FF2013">
        <w:rPr>
          <w:rFonts w:ascii="Times New Roman" w:hAnsi="Times New Roman" w:cs="Times New Roman"/>
          <w:sz w:val="24"/>
          <w:szCs w:val="24"/>
        </w:rPr>
        <w:t xml:space="preserve"> per cent</w:t>
      </w:r>
      <w:r w:rsidR="00923E35">
        <w:rPr>
          <w:rFonts w:ascii="Times New Roman" w:hAnsi="Times New Roman" w:cs="Times New Roman"/>
          <w:sz w:val="24"/>
          <w:szCs w:val="24"/>
        </w:rPr>
        <w:t xml:space="preserve"> at the 2009 Spring M</w:t>
      </w:r>
      <w:r w:rsidR="002B3B62" w:rsidRPr="00E12CEA">
        <w:rPr>
          <w:rFonts w:ascii="Times New Roman" w:hAnsi="Times New Roman" w:cs="Times New Roman"/>
          <w:sz w:val="24"/>
          <w:szCs w:val="24"/>
        </w:rPr>
        <w:t>eetings. Similarly, the World Bank and the IADB had their capital increased.</w:t>
      </w:r>
    </w:p>
    <w:p w:rsidR="002B3B62" w:rsidRPr="00E12CEA" w:rsidRDefault="002B3B62" w:rsidP="006005F5">
      <w:pPr>
        <w:spacing w:after="0" w:line="240" w:lineRule="auto"/>
        <w:ind w:right="-45"/>
        <w:jc w:val="both"/>
        <w:rPr>
          <w:rFonts w:ascii="Times New Roman" w:hAnsi="Times New Roman" w:cs="Times New Roman"/>
          <w:sz w:val="24"/>
          <w:szCs w:val="24"/>
        </w:rPr>
      </w:pPr>
    </w:p>
    <w:p w:rsidR="002B3B62" w:rsidRPr="00E12CEA"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38</w:t>
      </w:r>
      <w:r w:rsidR="002B3B62" w:rsidRPr="00E12CEA">
        <w:rPr>
          <w:rFonts w:ascii="Times New Roman" w:hAnsi="Times New Roman" w:cs="Times New Roman"/>
          <w:sz w:val="24"/>
          <w:szCs w:val="24"/>
        </w:rPr>
        <w:t>.</w:t>
      </w:r>
      <w:r w:rsidR="002B3B62" w:rsidRPr="00E12CEA">
        <w:rPr>
          <w:rFonts w:ascii="Times New Roman" w:hAnsi="Times New Roman" w:cs="Times New Roman"/>
          <w:sz w:val="24"/>
          <w:szCs w:val="24"/>
        </w:rPr>
        <w:tab/>
      </w:r>
      <w:r w:rsidR="002B3B62" w:rsidRPr="00B04A17">
        <w:rPr>
          <w:rFonts w:ascii="Times New Roman" w:hAnsi="Times New Roman" w:cs="Times New Roman"/>
          <w:b/>
          <w:sz w:val="24"/>
          <w:szCs w:val="24"/>
        </w:rPr>
        <w:t>Secondly, there was an insufficient response to the needs of LICs.</w:t>
      </w:r>
      <w:r w:rsidR="002B3B62" w:rsidRPr="00E12CEA">
        <w:rPr>
          <w:rFonts w:ascii="Times New Roman" w:hAnsi="Times New Roman" w:cs="Times New Roman"/>
          <w:sz w:val="24"/>
          <w:szCs w:val="24"/>
        </w:rPr>
        <w:t xml:space="preserve"> At the World Bank, we can contrast IBRD lending commitments to middle-income countries which substantially increased from 2008 to 2009, by $19.4 billion or 144</w:t>
      </w:r>
      <w:r w:rsidR="0084147B">
        <w:rPr>
          <w:rFonts w:ascii="Times New Roman" w:hAnsi="Times New Roman" w:cs="Times New Roman"/>
          <w:sz w:val="24"/>
          <w:szCs w:val="24"/>
        </w:rPr>
        <w:t xml:space="preserve"> per cent</w:t>
      </w:r>
      <w:r w:rsidR="002B3B62" w:rsidRPr="00E12CEA">
        <w:rPr>
          <w:rFonts w:ascii="Times New Roman" w:hAnsi="Times New Roman" w:cs="Times New Roman"/>
          <w:sz w:val="24"/>
          <w:szCs w:val="24"/>
        </w:rPr>
        <w:t>, versus IDA lending commitments to low-income countries which w</w:t>
      </w:r>
      <w:r w:rsidR="00923E35">
        <w:rPr>
          <w:rFonts w:ascii="Times New Roman" w:hAnsi="Times New Roman" w:cs="Times New Roman"/>
          <w:sz w:val="24"/>
          <w:szCs w:val="24"/>
        </w:rPr>
        <w:t>ere</w:t>
      </w:r>
      <w:r w:rsidR="002B3B62" w:rsidRPr="00E12CEA">
        <w:rPr>
          <w:rFonts w:ascii="Times New Roman" w:hAnsi="Times New Roman" w:cs="Times New Roman"/>
          <w:sz w:val="24"/>
          <w:szCs w:val="24"/>
        </w:rPr>
        <w:t xml:space="preserve"> only increased by $2.8 billion or 25</w:t>
      </w:r>
      <w:r w:rsidR="0084147B">
        <w:rPr>
          <w:rFonts w:ascii="Times New Roman" w:hAnsi="Times New Roman" w:cs="Times New Roman"/>
          <w:sz w:val="24"/>
          <w:szCs w:val="24"/>
        </w:rPr>
        <w:t xml:space="preserve"> per cent</w:t>
      </w:r>
      <w:r w:rsidR="0084147B" w:rsidRPr="00E12CEA">
        <w:rPr>
          <w:rFonts w:ascii="Times New Roman" w:hAnsi="Times New Roman" w:cs="Times New Roman"/>
          <w:sz w:val="24"/>
          <w:szCs w:val="24"/>
        </w:rPr>
        <w:t xml:space="preserve">. </w:t>
      </w:r>
      <w:r w:rsidR="002B3B62" w:rsidRPr="00E12CEA">
        <w:rPr>
          <w:rFonts w:ascii="Times New Roman" w:hAnsi="Times New Roman" w:cs="Times New Roman"/>
          <w:sz w:val="24"/>
          <w:szCs w:val="24"/>
        </w:rPr>
        <w:t>The proposal, presented at the end of 2009, to create an $ 1.3 billion IDA Crisis Response Window, to disburse IDA funds for protecting core spending on health, education, safety nets, infrast</w:t>
      </w:r>
      <w:r w:rsidR="00923E35">
        <w:rPr>
          <w:rFonts w:ascii="Times New Roman" w:hAnsi="Times New Roman" w:cs="Times New Roman"/>
          <w:sz w:val="24"/>
          <w:szCs w:val="24"/>
        </w:rPr>
        <w:t>ructure was thus widely welcomed by developing countries, including several Commonwealth member countries.</w:t>
      </w:r>
      <w:r w:rsidR="002B3B62" w:rsidRPr="00E12CEA">
        <w:rPr>
          <w:rFonts w:ascii="Times New Roman" w:hAnsi="Times New Roman" w:cs="Times New Roman"/>
          <w:sz w:val="24"/>
          <w:szCs w:val="24"/>
        </w:rPr>
        <w:t xml:space="preserve"> </w:t>
      </w:r>
    </w:p>
    <w:p w:rsidR="00923E35" w:rsidRPr="00E12CEA" w:rsidRDefault="00923E35" w:rsidP="006005F5">
      <w:pPr>
        <w:spacing w:after="0" w:line="240" w:lineRule="auto"/>
        <w:ind w:right="-45"/>
        <w:rPr>
          <w:rFonts w:ascii="Times New Roman" w:hAnsi="Times New Roman" w:cs="Times New Roman"/>
          <w:sz w:val="24"/>
          <w:szCs w:val="24"/>
        </w:rPr>
      </w:pPr>
    </w:p>
    <w:p w:rsidR="00923E35"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39</w:t>
      </w:r>
      <w:r w:rsidR="00923E35">
        <w:rPr>
          <w:rFonts w:ascii="Times New Roman" w:hAnsi="Times New Roman" w:cs="Times New Roman"/>
          <w:sz w:val="24"/>
          <w:szCs w:val="24"/>
        </w:rPr>
        <w:t>.</w:t>
      </w:r>
      <w:r w:rsidR="00923E35">
        <w:rPr>
          <w:rFonts w:ascii="Times New Roman" w:hAnsi="Times New Roman" w:cs="Times New Roman"/>
          <w:sz w:val="24"/>
          <w:szCs w:val="24"/>
        </w:rPr>
        <w:tab/>
      </w:r>
      <w:r w:rsidR="00923E35" w:rsidRPr="00B04A17">
        <w:rPr>
          <w:rFonts w:ascii="Times New Roman" w:hAnsi="Times New Roman" w:cs="Times New Roman"/>
          <w:b/>
          <w:sz w:val="24"/>
          <w:szCs w:val="24"/>
        </w:rPr>
        <w:t>Thirdly, the dynamics of rapidly expanding commitments</w:t>
      </w:r>
      <w:r w:rsidR="00923E35" w:rsidRPr="00E12CEA">
        <w:rPr>
          <w:rFonts w:ascii="Times New Roman" w:hAnsi="Times New Roman" w:cs="Times New Roman"/>
          <w:sz w:val="24"/>
          <w:szCs w:val="24"/>
        </w:rPr>
        <w:t xml:space="preserve"> </w:t>
      </w:r>
      <w:r w:rsidR="00923E35">
        <w:rPr>
          <w:rFonts w:ascii="Times New Roman" w:hAnsi="Times New Roman" w:cs="Times New Roman"/>
          <w:b/>
          <w:sz w:val="24"/>
          <w:szCs w:val="24"/>
        </w:rPr>
        <w:t>were</w:t>
      </w:r>
      <w:r w:rsidR="00923E35" w:rsidRPr="00332AFF">
        <w:rPr>
          <w:rFonts w:ascii="Times New Roman" w:hAnsi="Times New Roman" w:cs="Times New Roman"/>
          <w:b/>
          <w:sz w:val="24"/>
          <w:szCs w:val="24"/>
        </w:rPr>
        <w:t xml:space="preserve"> not reflected in disbursements</w:t>
      </w:r>
      <w:r w:rsidR="00923E35" w:rsidRPr="00E12CEA">
        <w:rPr>
          <w:rFonts w:ascii="Times New Roman" w:hAnsi="Times New Roman" w:cs="Times New Roman"/>
          <w:sz w:val="24"/>
          <w:szCs w:val="24"/>
        </w:rPr>
        <w:t>, which for the World Bank, both IBRD (77</w:t>
      </w:r>
      <w:r w:rsidR="0084147B">
        <w:rPr>
          <w:rFonts w:ascii="Times New Roman" w:hAnsi="Times New Roman" w:cs="Times New Roman"/>
          <w:sz w:val="24"/>
          <w:szCs w:val="24"/>
        </w:rPr>
        <w:t xml:space="preserve"> per cent</w:t>
      </w:r>
      <w:r w:rsidR="0084147B" w:rsidRPr="00E12CEA">
        <w:rPr>
          <w:rFonts w:ascii="Times New Roman" w:hAnsi="Times New Roman" w:cs="Times New Roman"/>
          <w:sz w:val="24"/>
          <w:szCs w:val="24"/>
        </w:rPr>
        <w:t xml:space="preserve">) </w:t>
      </w:r>
      <w:r w:rsidR="00923E35" w:rsidRPr="00E12CEA">
        <w:rPr>
          <w:rFonts w:ascii="Times New Roman" w:hAnsi="Times New Roman" w:cs="Times New Roman"/>
          <w:sz w:val="24"/>
          <w:szCs w:val="24"/>
        </w:rPr>
        <w:t>and IDA (1</w:t>
      </w:r>
      <w:r w:rsidR="0084147B">
        <w:rPr>
          <w:rFonts w:ascii="Times New Roman" w:hAnsi="Times New Roman" w:cs="Times New Roman"/>
          <w:sz w:val="24"/>
          <w:szCs w:val="24"/>
        </w:rPr>
        <w:t xml:space="preserve"> per cent</w:t>
      </w:r>
      <w:r w:rsidR="0084147B" w:rsidRPr="00E12CEA">
        <w:rPr>
          <w:rFonts w:ascii="Times New Roman" w:hAnsi="Times New Roman" w:cs="Times New Roman"/>
          <w:sz w:val="24"/>
          <w:szCs w:val="24"/>
        </w:rPr>
        <w:t xml:space="preserve">) </w:t>
      </w:r>
      <w:r w:rsidR="00923E35" w:rsidRPr="00E12CEA">
        <w:rPr>
          <w:rFonts w:ascii="Times New Roman" w:hAnsi="Times New Roman" w:cs="Times New Roman"/>
          <w:sz w:val="24"/>
          <w:szCs w:val="24"/>
        </w:rPr>
        <w:t xml:space="preserve">grew far slower in 2008 to 2009 than the </w:t>
      </w:r>
      <w:r w:rsidR="0001380F">
        <w:rPr>
          <w:rFonts w:ascii="Times New Roman" w:hAnsi="Times New Roman" w:cs="Times New Roman"/>
          <w:sz w:val="24"/>
          <w:szCs w:val="24"/>
        </w:rPr>
        <w:t xml:space="preserve">level of </w:t>
      </w:r>
      <w:r w:rsidR="00923E35" w:rsidRPr="00E12CEA">
        <w:rPr>
          <w:rFonts w:ascii="Times New Roman" w:hAnsi="Times New Roman" w:cs="Times New Roman"/>
          <w:sz w:val="24"/>
          <w:szCs w:val="24"/>
        </w:rPr>
        <w:t>commitments. Though the increase in IBRD disbursements was impressive, that o</w:t>
      </w:r>
      <w:r w:rsidR="0001380F">
        <w:rPr>
          <w:rFonts w:ascii="Times New Roman" w:hAnsi="Times New Roman" w:cs="Times New Roman"/>
          <w:sz w:val="24"/>
          <w:szCs w:val="24"/>
        </w:rPr>
        <w:t xml:space="preserve">f IDA was totally insignificant </w:t>
      </w:r>
      <w:r w:rsidR="00923E35" w:rsidRPr="00E12CEA">
        <w:rPr>
          <w:rFonts w:ascii="Times New Roman" w:hAnsi="Times New Roman" w:cs="Times New Roman"/>
          <w:sz w:val="24"/>
          <w:szCs w:val="24"/>
        </w:rPr>
        <w:t>(see also analysis above, as well as Tables 2 and 3, as well as Figures 1 and 2).  This means in practice that the contribution to the recovery was more limited than it could have been, especially for LICs. This needs urgent review and change both for future crises, so as to fully mainstream the counter-cyclical function in general and to external shocks in particular.</w:t>
      </w:r>
    </w:p>
    <w:p w:rsidR="00923E35" w:rsidRPr="00E12CEA" w:rsidRDefault="00923E35" w:rsidP="006005F5">
      <w:pPr>
        <w:spacing w:after="0" w:line="240" w:lineRule="auto"/>
        <w:ind w:right="-45"/>
        <w:jc w:val="both"/>
        <w:rPr>
          <w:rFonts w:ascii="Times New Roman" w:hAnsi="Times New Roman" w:cs="Times New Roman"/>
          <w:sz w:val="24"/>
          <w:szCs w:val="24"/>
        </w:rPr>
      </w:pPr>
    </w:p>
    <w:p w:rsidR="002B3B62" w:rsidRPr="00E12CEA" w:rsidRDefault="00770EEB"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4</w:t>
      </w:r>
      <w:r w:rsidR="00C57678">
        <w:rPr>
          <w:rFonts w:ascii="Times New Roman" w:hAnsi="Times New Roman" w:cs="Times New Roman"/>
          <w:sz w:val="24"/>
          <w:szCs w:val="24"/>
        </w:rPr>
        <w:t>0</w:t>
      </w:r>
      <w:r>
        <w:rPr>
          <w:rFonts w:ascii="Times New Roman" w:hAnsi="Times New Roman" w:cs="Times New Roman"/>
          <w:sz w:val="24"/>
          <w:szCs w:val="24"/>
        </w:rPr>
        <w:t>.</w:t>
      </w:r>
      <w:r>
        <w:rPr>
          <w:rFonts w:ascii="Times New Roman" w:hAnsi="Times New Roman" w:cs="Times New Roman"/>
          <w:sz w:val="24"/>
          <w:szCs w:val="24"/>
        </w:rPr>
        <w:tab/>
      </w:r>
      <w:r w:rsidR="00923E35" w:rsidRPr="005F6851">
        <w:rPr>
          <w:rFonts w:ascii="Times New Roman" w:hAnsi="Times New Roman" w:cs="Times New Roman"/>
          <w:b/>
          <w:sz w:val="24"/>
          <w:szCs w:val="24"/>
        </w:rPr>
        <w:t>In considering the role of MDBs in responding to future crises, there are several opportunities to strengthen responsiveness, some building on pilot and other limited initiatives trialled to date.</w:t>
      </w:r>
      <w:r w:rsidR="00923E35">
        <w:rPr>
          <w:rFonts w:ascii="Times New Roman" w:hAnsi="Times New Roman" w:cs="Times New Roman"/>
          <w:sz w:val="24"/>
          <w:szCs w:val="24"/>
        </w:rPr>
        <w:t xml:space="preserve"> For example there is strong scope for MDBs to introduce </w:t>
      </w:r>
      <w:r w:rsidR="002B3B62" w:rsidRPr="00E12CEA">
        <w:rPr>
          <w:rFonts w:ascii="Times New Roman" w:hAnsi="Times New Roman" w:cs="Times New Roman"/>
          <w:sz w:val="24"/>
          <w:szCs w:val="24"/>
        </w:rPr>
        <w:t>lending instruments that make developing countries less vulnerable during crises, either because they reduce currency mismatches by lending in local currency or because they adjust maturity of repayments of loans in a counter-cyclical manner, so that net lending can increase more in bad times. Examples include local currency lending by MDBs and new instruments</w:t>
      </w:r>
      <w:r w:rsidR="00923E35">
        <w:rPr>
          <w:rFonts w:ascii="Times New Roman" w:hAnsi="Times New Roman" w:cs="Times New Roman"/>
          <w:sz w:val="24"/>
          <w:szCs w:val="24"/>
        </w:rPr>
        <w:t xml:space="preserve"> which </w:t>
      </w:r>
      <w:r w:rsidR="002B3B62" w:rsidRPr="00E12CEA">
        <w:rPr>
          <w:rFonts w:ascii="Times New Roman" w:hAnsi="Times New Roman" w:cs="Times New Roman"/>
          <w:sz w:val="24"/>
          <w:szCs w:val="24"/>
        </w:rPr>
        <w:t xml:space="preserve">could include GDP-linked or commodity price linked loans for developing countries. An interesting idea being discussed in the World Bank is to vary loan repayment in relation to the price of oil, for both oil importers and oil exporters, but obviously in inverse ways; </w:t>
      </w:r>
      <w:r w:rsidR="00923E35">
        <w:rPr>
          <w:rFonts w:ascii="Times New Roman" w:hAnsi="Times New Roman" w:cs="Times New Roman"/>
          <w:sz w:val="24"/>
          <w:szCs w:val="24"/>
        </w:rPr>
        <w:t xml:space="preserve">countries would benefit while </w:t>
      </w:r>
      <w:r w:rsidR="002B3B62" w:rsidRPr="00E12CEA">
        <w:rPr>
          <w:rFonts w:ascii="Times New Roman" w:hAnsi="Times New Roman" w:cs="Times New Roman"/>
          <w:sz w:val="24"/>
          <w:szCs w:val="24"/>
        </w:rPr>
        <w:t>the World Bank would be hedged in its risk of variable repayments, as effects would broadly cancel out</w:t>
      </w:r>
      <w:r w:rsidR="00923E35">
        <w:rPr>
          <w:rFonts w:ascii="Times New Roman" w:hAnsi="Times New Roman" w:cs="Times New Roman"/>
          <w:sz w:val="24"/>
          <w:szCs w:val="24"/>
        </w:rPr>
        <w:t>.</w:t>
      </w:r>
      <w:r w:rsidR="002B3B62" w:rsidRPr="00E12CEA">
        <w:rPr>
          <w:rFonts w:ascii="Times New Roman" w:hAnsi="Times New Roman" w:cs="Times New Roman"/>
          <w:sz w:val="24"/>
          <w:szCs w:val="24"/>
        </w:rPr>
        <w:t xml:space="preserve"> Another interesting mechanism would build on the successful example of Counter Cyclical Loan</w:t>
      </w:r>
      <w:r w:rsidR="00923E35">
        <w:rPr>
          <w:rFonts w:ascii="Times New Roman" w:hAnsi="Times New Roman" w:cs="Times New Roman"/>
          <w:sz w:val="24"/>
          <w:szCs w:val="24"/>
        </w:rPr>
        <w:t>s</w:t>
      </w:r>
      <w:r w:rsidR="002B3B62" w:rsidRPr="00E12CEA">
        <w:rPr>
          <w:rFonts w:ascii="Times New Roman" w:hAnsi="Times New Roman" w:cs="Times New Roman"/>
          <w:sz w:val="24"/>
          <w:szCs w:val="24"/>
        </w:rPr>
        <w:t xml:space="preserve"> used by the Agence Francaise de Development which </w:t>
      </w:r>
      <w:r w:rsidR="00923E35">
        <w:rPr>
          <w:rFonts w:ascii="Times New Roman" w:hAnsi="Times New Roman" w:cs="Times New Roman"/>
          <w:sz w:val="24"/>
          <w:szCs w:val="24"/>
        </w:rPr>
        <w:t>provides</w:t>
      </w:r>
      <w:r w:rsidR="002B3B62" w:rsidRPr="00E12CEA">
        <w:rPr>
          <w:rFonts w:ascii="Times New Roman" w:hAnsi="Times New Roman" w:cs="Times New Roman"/>
          <w:sz w:val="24"/>
          <w:szCs w:val="24"/>
        </w:rPr>
        <w:t xml:space="preserve"> debt holidays on their concessional loans to LICs which experience s</w:t>
      </w:r>
      <w:r w:rsidR="00923E35">
        <w:rPr>
          <w:rFonts w:ascii="Times New Roman" w:hAnsi="Times New Roman" w:cs="Times New Roman"/>
          <w:sz w:val="24"/>
          <w:szCs w:val="24"/>
        </w:rPr>
        <w:t>hocks that affect their exports. S</w:t>
      </w:r>
      <w:r w:rsidR="002B3B62" w:rsidRPr="00E12CEA">
        <w:rPr>
          <w:rFonts w:ascii="Times New Roman" w:hAnsi="Times New Roman" w:cs="Times New Roman"/>
          <w:sz w:val="24"/>
          <w:szCs w:val="24"/>
        </w:rPr>
        <w:t>uch a mechanism could be adopted by the World Bank/IDA, as well as by regional development Banks (see again Griffith-Jones, 2011, op cit).</w:t>
      </w:r>
    </w:p>
    <w:p w:rsidR="00F8647A" w:rsidRDefault="00F8647A" w:rsidP="006005F5">
      <w:pPr>
        <w:spacing w:after="0" w:line="240" w:lineRule="auto"/>
        <w:ind w:right="-45"/>
        <w:rPr>
          <w:rFonts w:ascii="Times New Roman" w:hAnsi="Times New Roman" w:cs="Times New Roman"/>
          <w:sz w:val="24"/>
          <w:szCs w:val="24"/>
        </w:rPr>
      </w:pPr>
    </w:p>
    <w:p w:rsidR="0084147B" w:rsidRDefault="0084147B">
      <w:pPr>
        <w:rPr>
          <w:rFonts w:ascii="Times New Roman" w:hAnsi="Times New Roman" w:cs="Times New Roman"/>
          <w:b/>
          <w:sz w:val="24"/>
          <w:szCs w:val="24"/>
        </w:rPr>
      </w:pPr>
      <w:r>
        <w:rPr>
          <w:rFonts w:ascii="Times New Roman" w:hAnsi="Times New Roman" w:cs="Times New Roman"/>
          <w:b/>
          <w:sz w:val="24"/>
          <w:szCs w:val="24"/>
        </w:rPr>
        <w:br w:type="page"/>
      </w:r>
    </w:p>
    <w:p w:rsidR="002B3B62" w:rsidRDefault="00770EEB" w:rsidP="006005F5">
      <w:pPr>
        <w:spacing w:after="0" w:line="240" w:lineRule="auto"/>
        <w:ind w:right="-45"/>
        <w:rPr>
          <w:rFonts w:ascii="Times New Roman" w:hAnsi="Times New Roman" w:cs="Times New Roman"/>
          <w:b/>
          <w:bCs/>
          <w:sz w:val="24"/>
          <w:szCs w:val="24"/>
        </w:rPr>
      </w:pPr>
      <w:r w:rsidRPr="00B04A17">
        <w:rPr>
          <w:rFonts w:ascii="Times New Roman" w:hAnsi="Times New Roman" w:cs="Times New Roman"/>
          <w:b/>
          <w:sz w:val="24"/>
          <w:szCs w:val="24"/>
        </w:rPr>
        <w:lastRenderedPageBreak/>
        <w:t xml:space="preserve">Shock Facilities of the </w:t>
      </w:r>
      <w:r w:rsidR="002B3B62" w:rsidRPr="00E12CEA">
        <w:rPr>
          <w:rFonts w:ascii="Times New Roman" w:hAnsi="Times New Roman" w:cs="Times New Roman"/>
          <w:b/>
          <w:bCs/>
          <w:sz w:val="24"/>
          <w:szCs w:val="24"/>
        </w:rPr>
        <w:t xml:space="preserve">European Commission </w:t>
      </w:r>
    </w:p>
    <w:p w:rsidR="002B3B62" w:rsidRPr="00E12CEA" w:rsidRDefault="002B3B62" w:rsidP="00A77D63">
      <w:pPr>
        <w:spacing w:after="0" w:line="240" w:lineRule="auto"/>
        <w:ind w:right="-45"/>
        <w:rPr>
          <w:rFonts w:ascii="Times New Roman" w:hAnsi="Times New Roman" w:cs="Times New Roman"/>
          <w:b/>
          <w:bCs/>
          <w:sz w:val="24"/>
          <w:szCs w:val="24"/>
        </w:rPr>
      </w:pPr>
    </w:p>
    <w:p w:rsidR="002B3B62" w:rsidRPr="00E12CEA"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41</w:t>
      </w:r>
      <w:r w:rsidR="002B3B62" w:rsidRPr="00E12CEA">
        <w:rPr>
          <w:rFonts w:ascii="Times New Roman" w:hAnsi="Times New Roman" w:cs="Times New Roman"/>
          <w:sz w:val="24"/>
          <w:szCs w:val="24"/>
        </w:rPr>
        <w:t>.</w:t>
      </w:r>
      <w:r w:rsidR="002B3B62" w:rsidRPr="00E12CEA">
        <w:rPr>
          <w:rFonts w:ascii="Times New Roman" w:hAnsi="Times New Roman" w:cs="Times New Roman"/>
          <w:sz w:val="24"/>
          <w:szCs w:val="24"/>
        </w:rPr>
        <w:tab/>
        <w:t xml:space="preserve">The European Commission </w:t>
      </w:r>
      <w:r w:rsidR="00770EEB">
        <w:rPr>
          <w:rFonts w:ascii="Times New Roman" w:hAnsi="Times New Roman" w:cs="Times New Roman"/>
          <w:sz w:val="24"/>
          <w:szCs w:val="24"/>
        </w:rPr>
        <w:t xml:space="preserve">(EC) </w:t>
      </w:r>
      <w:r w:rsidR="002B3B62" w:rsidRPr="00E12CEA">
        <w:rPr>
          <w:rFonts w:ascii="Times New Roman" w:hAnsi="Times New Roman" w:cs="Times New Roman"/>
          <w:sz w:val="24"/>
          <w:szCs w:val="24"/>
        </w:rPr>
        <w:t>put in place various shock absorbing schemes in response to the crisis that started in 2007; they included V-FLEX and Food facility initiatives.  These were added to the existing FLEX facility</w:t>
      </w:r>
      <w:r w:rsidR="00770EEB">
        <w:rPr>
          <w:rFonts w:ascii="Times New Roman" w:hAnsi="Times New Roman" w:cs="Times New Roman"/>
          <w:sz w:val="24"/>
          <w:szCs w:val="24"/>
        </w:rPr>
        <w:t>. I</w:t>
      </w:r>
      <w:r w:rsidR="002B3B62" w:rsidRPr="00E12CEA">
        <w:rPr>
          <w:rFonts w:ascii="Times New Roman" w:hAnsi="Times New Roman" w:cs="Times New Roman"/>
          <w:sz w:val="24"/>
          <w:szCs w:val="24"/>
        </w:rPr>
        <w:t>n particular V-FLEX was created, as a temporary facility, to allow a larger and more flexible approach to the crisis. Both FLEX and V-FLEX were</w:t>
      </w:r>
      <w:r w:rsidR="00770EEB">
        <w:rPr>
          <w:rFonts w:ascii="Times New Roman" w:hAnsi="Times New Roman" w:cs="Times New Roman"/>
          <w:sz w:val="24"/>
          <w:szCs w:val="24"/>
        </w:rPr>
        <w:t xml:space="preserve"> established only</w:t>
      </w:r>
      <w:r w:rsidR="002B3B62" w:rsidRPr="00E12CEA">
        <w:rPr>
          <w:rFonts w:ascii="Times New Roman" w:hAnsi="Times New Roman" w:cs="Times New Roman"/>
          <w:sz w:val="24"/>
          <w:szCs w:val="24"/>
        </w:rPr>
        <w:t xml:space="preserve"> for ACP countries, but the Commission is discussing the possibility of widening the coverage to all developing countries. It should be stressed that all EC facilities are at present in form of grants.</w:t>
      </w:r>
    </w:p>
    <w:p w:rsidR="002B3B62" w:rsidRPr="00E12CEA" w:rsidRDefault="002B3B62" w:rsidP="006005F5">
      <w:pPr>
        <w:autoSpaceDE w:val="0"/>
        <w:autoSpaceDN w:val="0"/>
        <w:adjustRightInd w:val="0"/>
        <w:spacing w:after="0" w:line="240" w:lineRule="auto"/>
        <w:ind w:right="-45"/>
        <w:jc w:val="both"/>
        <w:rPr>
          <w:rFonts w:ascii="Times New Roman" w:hAnsi="Times New Roman" w:cs="Times New Roman"/>
          <w:sz w:val="24"/>
          <w:szCs w:val="24"/>
        </w:rPr>
      </w:pPr>
    </w:p>
    <w:p w:rsidR="002B3B62"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4</w:t>
      </w:r>
      <w:r w:rsidR="00C35C6E">
        <w:rPr>
          <w:rFonts w:ascii="Times New Roman" w:hAnsi="Times New Roman" w:cs="Times New Roman"/>
          <w:sz w:val="24"/>
          <w:szCs w:val="24"/>
        </w:rPr>
        <w:t>2</w:t>
      </w:r>
      <w:r w:rsidR="002B3B62" w:rsidRPr="00E12CEA">
        <w:rPr>
          <w:rFonts w:ascii="Times New Roman" w:hAnsi="Times New Roman" w:cs="Times New Roman"/>
          <w:sz w:val="24"/>
          <w:szCs w:val="24"/>
        </w:rPr>
        <w:t>.</w:t>
      </w:r>
      <w:r w:rsidR="002B3B62" w:rsidRPr="00E12CEA">
        <w:rPr>
          <w:rFonts w:ascii="Times New Roman" w:hAnsi="Times New Roman" w:cs="Times New Roman"/>
          <w:sz w:val="24"/>
          <w:szCs w:val="24"/>
        </w:rPr>
        <w:tab/>
        <w:t xml:space="preserve">Vulnerability to changes in earning from export earnings is affected by natural disasters, weather conditions or export price volatility. This is particularly true for those countries whose exports are heavily concentrated, and where price volatility in these exports can and has been high. As a response to this the </w:t>
      </w:r>
      <w:r w:rsidR="002B3B62" w:rsidRPr="00B04A17">
        <w:rPr>
          <w:rFonts w:ascii="Times New Roman" w:hAnsi="Times New Roman" w:cs="Times New Roman"/>
          <w:b/>
          <w:sz w:val="24"/>
          <w:szCs w:val="24"/>
        </w:rPr>
        <w:t>FLEX facility</w:t>
      </w:r>
      <w:r w:rsidR="002B3B62" w:rsidRPr="00E12CEA">
        <w:rPr>
          <w:rFonts w:ascii="Times New Roman" w:hAnsi="Times New Roman" w:cs="Times New Roman"/>
          <w:sz w:val="24"/>
          <w:szCs w:val="24"/>
        </w:rPr>
        <w:t xml:space="preserve"> was set up in 2000 by the EU as its main crisis response facility. The facility aimed to be both more comprehensive and simpler than its predecessors. </w:t>
      </w:r>
      <w:r w:rsidR="00770EEB">
        <w:rPr>
          <w:rFonts w:ascii="Times New Roman" w:hAnsi="Times New Roman" w:cs="Times New Roman"/>
          <w:sz w:val="24"/>
          <w:szCs w:val="24"/>
        </w:rPr>
        <w:t xml:space="preserve"> </w:t>
      </w:r>
      <w:r w:rsidR="002B3B62" w:rsidRPr="00E12CEA">
        <w:rPr>
          <w:rFonts w:ascii="Times New Roman" w:hAnsi="Times New Roman" w:cs="Times New Roman"/>
          <w:sz w:val="24"/>
          <w:szCs w:val="24"/>
        </w:rPr>
        <w:t xml:space="preserve">An interesting feature of the FLEX is that it closely links these issues with the facility trigger, </w:t>
      </w:r>
      <w:r w:rsidR="002B3B62" w:rsidRPr="00B04A17">
        <w:rPr>
          <w:rFonts w:ascii="Times New Roman" w:hAnsi="Times New Roman" w:cs="Times New Roman"/>
          <w:b/>
          <w:sz w:val="24"/>
          <w:szCs w:val="24"/>
        </w:rPr>
        <w:t>which is objectively defined through export driven measures.</w:t>
      </w:r>
      <w:r w:rsidR="002B3B62" w:rsidRPr="00E12CEA">
        <w:rPr>
          <w:rFonts w:ascii="Times New Roman" w:hAnsi="Times New Roman" w:cs="Times New Roman"/>
          <w:sz w:val="24"/>
          <w:szCs w:val="24"/>
        </w:rPr>
        <w:t xml:space="preserve">  The trigger was a percentage drop in export earnings below a reference level and that this caused a worsening of the public deficit.  For a subset of countries where the agriculture or mineral sector were key sectors, defined as 40</w:t>
      </w:r>
      <w:r w:rsidR="00F93037">
        <w:rPr>
          <w:rFonts w:ascii="Times New Roman" w:hAnsi="Times New Roman" w:cs="Times New Roman"/>
          <w:sz w:val="24"/>
          <w:szCs w:val="24"/>
        </w:rPr>
        <w:t xml:space="preserve"> per cent</w:t>
      </w:r>
      <w:r w:rsidR="00F93037" w:rsidRPr="00E12CEA">
        <w:rPr>
          <w:rFonts w:ascii="Times New Roman" w:hAnsi="Times New Roman" w:cs="Times New Roman"/>
          <w:sz w:val="24"/>
          <w:szCs w:val="24"/>
        </w:rPr>
        <w:t xml:space="preserve"> </w:t>
      </w:r>
      <w:r w:rsidR="002B3B62" w:rsidRPr="00E12CEA">
        <w:rPr>
          <w:rFonts w:ascii="Times New Roman" w:hAnsi="Times New Roman" w:cs="Times New Roman"/>
          <w:sz w:val="24"/>
          <w:szCs w:val="24"/>
        </w:rPr>
        <w:t>of more of export earnings, these could also act as an alternative trigger. The FLEX was available for a maximum of four successive years. Since 2004, the trigger level for export earning reduction was 2</w:t>
      </w:r>
      <w:r w:rsidR="00F93037">
        <w:rPr>
          <w:rFonts w:ascii="Times New Roman" w:hAnsi="Times New Roman" w:cs="Times New Roman"/>
          <w:sz w:val="24"/>
          <w:szCs w:val="24"/>
        </w:rPr>
        <w:t xml:space="preserve"> p</w:t>
      </w:r>
      <w:r w:rsidR="0084147B">
        <w:rPr>
          <w:rFonts w:ascii="Times New Roman" w:hAnsi="Times New Roman" w:cs="Times New Roman"/>
          <w:sz w:val="24"/>
          <w:szCs w:val="24"/>
        </w:rPr>
        <w:t>er cent</w:t>
      </w:r>
      <w:r w:rsidR="0084147B" w:rsidRPr="00E12CEA">
        <w:rPr>
          <w:rFonts w:ascii="Times New Roman" w:hAnsi="Times New Roman" w:cs="Times New Roman"/>
          <w:sz w:val="24"/>
          <w:szCs w:val="24"/>
        </w:rPr>
        <w:t>.</w:t>
      </w:r>
    </w:p>
    <w:p w:rsidR="00F67511" w:rsidRDefault="00F67511" w:rsidP="006005F5">
      <w:pPr>
        <w:tabs>
          <w:tab w:val="left" w:pos="567"/>
        </w:tabs>
        <w:spacing w:after="0" w:line="240" w:lineRule="auto"/>
        <w:ind w:right="-45"/>
        <w:jc w:val="both"/>
        <w:rPr>
          <w:rFonts w:ascii="Times New Roman" w:hAnsi="Times New Roman" w:cs="Times New Roman"/>
          <w:sz w:val="24"/>
          <w:szCs w:val="24"/>
        </w:rPr>
      </w:pPr>
    </w:p>
    <w:p w:rsidR="00F67511" w:rsidRPr="00E12CEA" w:rsidRDefault="00F67511"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4</w:t>
      </w:r>
      <w:r w:rsidR="00C35C6E">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Pr="00E12CEA">
        <w:rPr>
          <w:rFonts w:ascii="Times New Roman" w:hAnsi="Times New Roman" w:cs="Times New Roman"/>
          <w:sz w:val="24"/>
          <w:szCs w:val="24"/>
        </w:rPr>
        <w:t>The main lesson learned from the initial working of FLEX was that it failed significantly to achieve its objective mainly because of lack of finance to be allocated to ACP countries and delays in providing the financing. An increase of financial resources in the annual FLEX allocation for all ACP countries appeared to be enough to cover the financial requirements of ACPs coping w</w:t>
      </w:r>
      <w:r>
        <w:rPr>
          <w:rFonts w:ascii="Times New Roman" w:hAnsi="Times New Roman" w:cs="Times New Roman"/>
          <w:sz w:val="24"/>
          <w:szCs w:val="24"/>
        </w:rPr>
        <w:t xml:space="preserve">ith exogenous shocks in the mid-2000s. However </w:t>
      </w:r>
      <w:r w:rsidRPr="00E12CEA">
        <w:rPr>
          <w:rFonts w:ascii="Times New Roman" w:hAnsi="Times New Roman" w:cs="Times New Roman"/>
          <w:sz w:val="24"/>
          <w:szCs w:val="24"/>
        </w:rPr>
        <w:t>given the seriousness of the global crisis</w:t>
      </w:r>
      <w:r>
        <w:rPr>
          <w:rFonts w:ascii="Times New Roman" w:hAnsi="Times New Roman" w:cs="Times New Roman"/>
          <w:sz w:val="24"/>
          <w:szCs w:val="24"/>
        </w:rPr>
        <w:t xml:space="preserve"> this changed</w:t>
      </w:r>
      <w:r w:rsidRPr="00E12CEA">
        <w:rPr>
          <w:rFonts w:ascii="Times New Roman" w:hAnsi="Times New Roman" w:cs="Times New Roman"/>
          <w:sz w:val="24"/>
          <w:szCs w:val="24"/>
        </w:rPr>
        <w:t>. With regards to the second lesson from FLEX it is unquestionable that the time delay in providing financial support was linked to the fact that the facility operates on the basis of an ex-post rather than a real time mechanism, as triggers were not based on projections</w:t>
      </w:r>
      <w:r>
        <w:rPr>
          <w:rFonts w:ascii="Times New Roman" w:hAnsi="Times New Roman" w:cs="Times New Roman"/>
          <w:sz w:val="24"/>
          <w:szCs w:val="24"/>
        </w:rPr>
        <w:t xml:space="preserve">. </w:t>
      </w:r>
    </w:p>
    <w:p w:rsidR="00F67511" w:rsidRPr="00E12CEA" w:rsidRDefault="00F67511" w:rsidP="006005F5">
      <w:pPr>
        <w:tabs>
          <w:tab w:val="left" w:pos="567"/>
        </w:tabs>
        <w:spacing w:after="0" w:line="240" w:lineRule="auto"/>
        <w:ind w:right="-45"/>
        <w:jc w:val="both"/>
        <w:rPr>
          <w:rFonts w:ascii="Times New Roman" w:hAnsi="Times New Roman" w:cs="Times New Roman"/>
          <w:sz w:val="24"/>
          <w:szCs w:val="24"/>
        </w:rPr>
      </w:pPr>
    </w:p>
    <w:p w:rsidR="002B3B62" w:rsidRPr="00E12CEA"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44</w:t>
      </w:r>
      <w:r w:rsidR="002B3B62" w:rsidRPr="00E12CEA">
        <w:rPr>
          <w:rFonts w:ascii="Times New Roman" w:hAnsi="Times New Roman" w:cs="Times New Roman"/>
          <w:sz w:val="24"/>
          <w:szCs w:val="24"/>
        </w:rPr>
        <w:t>.</w:t>
      </w:r>
      <w:r w:rsidR="002B3B62" w:rsidRPr="00E12CEA">
        <w:rPr>
          <w:rFonts w:ascii="Times New Roman" w:hAnsi="Times New Roman" w:cs="Times New Roman"/>
          <w:sz w:val="24"/>
          <w:szCs w:val="24"/>
        </w:rPr>
        <w:tab/>
      </w:r>
      <w:r w:rsidR="00F67511">
        <w:rPr>
          <w:rFonts w:ascii="Times New Roman" w:hAnsi="Times New Roman" w:cs="Times New Roman"/>
          <w:sz w:val="24"/>
          <w:szCs w:val="24"/>
        </w:rPr>
        <w:t>While on balance t</w:t>
      </w:r>
      <w:r w:rsidR="002B3B62" w:rsidRPr="00E12CEA">
        <w:rPr>
          <w:rFonts w:ascii="Times New Roman" w:hAnsi="Times New Roman" w:cs="Times New Roman"/>
          <w:sz w:val="24"/>
          <w:szCs w:val="24"/>
        </w:rPr>
        <w:t xml:space="preserve">he FLEX facility operated fairly well since 2000, and especially since 2004, the global financial crisis created huge challenges including in assisting the most vulnerable countries. In late 2007 the temporary </w:t>
      </w:r>
      <w:r w:rsidR="002B3B62" w:rsidRPr="00B04A17">
        <w:rPr>
          <w:rFonts w:ascii="Times New Roman" w:hAnsi="Times New Roman" w:cs="Times New Roman"/>
          <w:b/>
          <w:sz w:val="24"/>
          <w:szCs w:val="24"/>
        </w:rPr>
        <w:t>Vulnerability FLEX</w:t>
      </w:r>
      <w:r w:rsidR="005471B1">
        <w:rPr>
          <w:rFonts w:ascii="Times New Roman" w:hAnsi="Times New Roman" w:cs="Times New Roman"/>
          <w:sz w:val="24"/>
          <w:szCs w:val="24"/>
        </w:rPr>
        <w:t xml:space="preserve"> or “V-Flex facility</w:t>
      </w:r>
      <w:r w:rsidR="002B3B62" w:rsidRPr="00E12CEA">
        <w:rPr>
          <w:rFonts w:ascii="Times New Roman" w:hAnsi="Times New Roman" w:cs="Times New Roman"/>
          <w:sz w:val="24"/>
          <w:szCs w:val="24"/>
        </w:rPr>
        <w:t xml:space="preserve"> was created which sought to offer greater speed and flexibility. V-FLEX eligibility is defined as countries with </w:t>
      </w:r>
      <w:r w:rsidR="002B3B62" w:rsidRPr="00B04A17">
        <w:rPr>
          <w:rFonts w:ascii="Times New Roman" w:hAnsi="Times New Roman" w:cs="Times New Roman"/>
          <w:b/>
          <w:sz w:val="24"/>
          <w:szCs w:val="24"/>
        </w:rPr>
        <w:t>“high social, economic and political vulnerability to the crisis”.</w:t>
      </w:r>
      <w:r w:rsidR="002B3B62" w:rsidRPr="00E12CEA">
        <w:rPr>
          <w:rFonts w:ascii="Times New Roman" w:hAnsi="Times New Roman" w:cs="Times New Roman"/>
          <w:sz w:val="24"/>
          <w:szCs w:val="24"/>
        </w:rPr>
        <w:t xml:space="preserve"> In objective criteria this is measured in V-FLEX by a selection of key measures including crisis-driven deterioration in government revenues, foreign reserves and fiscal deficit. Fiscal financing gaps were also moved away from historic measure to forecast measures and on planned cuts in expenditures, especially social expenditures, which can be compensated by the facility. Eligibility was also revised to allow subjective case-by-case eligibility for fragile states. V-FLEX like the original FLEX used as the main delivery mechanism general budget support. Social mitigation through existing programmes and in coordination with other donors is also allowed. By 2010 V-FLEX had committed €524</w:t>
      </w:r>
      <w:r w:rsidR="00F93037">
        <w:rPr>
          <w:rFonts w:ascii="Times New Roman" w:hAnsi="Times New Roman" w:cs="Times New Roman"/>
          <w:sz w:val="24"/>
          <w:szCs w:val="24"/>
        </w:rPr>
        <w:t xml:space="preserve"> </w:t>
      </w:r>
      <w:r w:rsidR="002B3B62" w:rsidRPr="00E12CEA">
        <w:rPr>
          <w:rFonts w:ascii="Times New Roman" w:hAnsi="Times New Roman" w:cs="Times New Roman"/>
          <w:sz w:val="24"/>
          <w:szCs w:val="24"/>
        </w:rPr>
        <w:t>m</w:t>
      </w:r>
      <w:r w:rsidR="00F93037">
        <w:rPr>
          <w:rFonts w:ascii="Times New Roman" w:hAnsi="Times New Roman" w:cs="Times New Roman"/>
          <w:sz w:val="24"/>
          <w:szCs w:val="24"/>
        </w:rPr>
        <w:t>illion</w:t>
      </w:r>
      <w:r w:rsidR="002B3B62" w:rsidRPr="00E12CEA">
        <w:rPr>
          <w:rFonts w:ascii="Times New Roman" w:hAnsi="Times New Roman" w:cs="Times New Roman"/>
          <w:sz w:val="24"/>
          <w:szCs w:val="24"/>
        </w:rPr>
        <w:t xml:space="preserve"> in funds. </w:t>
      </w:r>
    </w:p>
    <w:p w:rsidR="003470A6" w:rsidRDefault="003470A6" w:rsidP="002B3B62">
      <w:pPr>
        <w:spacing w:after="0" w:line="240" w:lineRule="auto"/>
        <w:ind w:right="288"/>
        <w:jc w:val="both"/>
        <w:rPr>
          <w:rFonts w:ascii="Times New Roman" w:hAnsi="Times New Roman" w:cs="Times New Roman"/>
          <w:sz w:val="24"/>
          <w:szCs w:val="24"/>
        </w:rPr>
      </w:pPr>
    </w:p>
    <w:p w:rsidR="002B3B62" w:rsidRDefault="00C57678" w:rsidP="006005F5">
      <w:pPr>
        <w:tabs>
          <w:tab w:val="left" w:pos="567"/>
        </w:tabs>
        <w:spacing w:after="0" w:line="240" w:lineRule="auto"/>
        <w:ind w:right="-45"/>
        <w:jc w:val="both"/>
        <w:rPr>
          <w:rFonts w:ascii="Times New Roman" w:hAnsi="Times New Roman" w:cs="Times New Roman"/>
          <w:b/>
          <w:sz w:val="24"/>
          <w:szCs w:val="24"/>
        </w:rPr>
      </w:pPr>
      <w:r>
        <w:rPr>
          <w:rFonts w:ascii="Times New Roman" w:hAnsi="Times New Roman" w:cs="Times New Roman"/>
          <w:sz w:val="24"/>
          <w:szCs w:val="24"/>
        </w:rPr>
        <w:t>45</w:t>
      </w:r>
      <w:r w:rsidR="002B3B62" w:rsidRPr="00E12CEA">
        <w:rPr>
          <w:rFonts w:ascii="Times New Roman" w:hAnsi="Times New Roman" w:cs="Times New Roman"/>
          <w:sz w:val="24"/>
          <w:szCs w:val="24"/>
        </w:rPr>
        <w:t>.</w:t>
      </w:r>
      <w:r w:rsidR="002B3B62" w:rsidRPr="00E12CEA">
        <w:rPr>
          <w:rFonts w:ascii="Times New Roman" w:hAnsi="Times New Roman" w:cs="Times New Roman"/>
          <w:sz w:val="24"/>
          <w:szCs w:val="24"/>
        </w:rPr>
        <w:tab/>
        <w:t>Similar to IFIs, the EC</w:t>
      </w:r>
      <w:r w:rsidR="003470A6">
        <w:rPr>
          <w:rFonts w:ascii="Times New Roman" w:hAnsi="Times New Roman" w:cs="Times New Roman"/>
          <w:sz w:val="24"/>
          <w:szCs w:val="24"/>
        </w:rPr>
        <w:t xml:space="preserve"> also</w:t>
      </w:r>
      <w:r w:rsidR="002B3B62" w:rsidRPr="00E12CEA">
        <w:rPr>
          <w:rFonts w:ascii="Times New Roman" w:hAnsi="Times New Roman" w:cs="Times New Roman"/>
          <w:sz w:val="24"/>
          <w:szCs w:val="24"/>
        </w:rPr>
        <w:t xml:space="preserve"> raised concerns about the impact of food price inflation in late 2007 and 2008. In December 2008 as part of the response to this concern, the European Parliament created the </w:t>
      </w:r>
      <w:r w:rsidR="003470A6">
        <w:rPr>
          <w:rFonts w:ascii="Times New Roman" w:hAnsi="Times New Roman" w:cs="Times New Roman"/>
          <w:b/>
          <w:sz w:val="24"/>
          <w:szCs w:val="24"/>
        </w:rPr>
        <w:t>“Food F</w:t>
      </w:r>
      <w:r w:rsidR="002B3B62" w:rsidRPr="00B04A17">
        <w:rPr>
          <w:rFonts w:ascii="Times New Roman" w:hAnsi="Times New Roman" w:cs="Times New Roman"/>
          <w:b/>
          <w:sz w:val="24"/>
          <w:szCs w:val="24"/>
        </w:rPr>
        <w:t>acility”</w:t>
      </w:r>
      <w:r w:rsidR="002B3B62" w:rsidRPr="00E12CEA">
        <w:rPr>
          <w:rFonts w:ascii="Times New Roman" w:hAnsi="Times New Roman" w:cs="Times New Roman"/>
          <w:sz w:val="24"/>
          <w:szCs w:val="24"/>
        </w:rPr>
        <w:t xml:space="preserve">, initially allocating </w:t>
      </w:r>
      <w:r w:rsidR="00F93037" w:rsidRPr="00E12CEA">
        <w:rPr>
          <w:rFonts w:ascii="Times New Roman" w:hAnsi="Times New Roman" w:cs="Times New Roman"/>
          <w:sz w:val="24"/>
          <w:szCs w:val="24"/>
        </w:rPr>
        <w:t>€</w:t>
      </w:r>
      <w:r w:rsidR="002B3B62" w:rsidRPr="00E12CEA">
        <w:rPr>
          <w:rFonts w:ascii="Times New Roman" w:hAnsi="Times New Roman" w:cs="Times New Roman"/>
          <w:sz w:val="24"/>
          <w:szCs w:val="24"/>
        </w:rPr>
        <w:t xml:space="preserve">1 billion for this purpose. The </w:t>
      </w:r>
      <w:r w:rsidR="002B3B62" w:rsidRPr="00E12CEA">
        <w:rPr>
          <w:rFonts w:ascii="Times New Roman" w:hAnsi="Times New Roman" w:cs="Times New Roman"/>
          <w:sz w:val="24"/>
          <w:szCs w:val="24"/>
        </w:rPr>
        <w:lastRenderedPageBreak/>
        <w:t>goal was to bridge the gap between long term, more structural development financing and emergency   responses. The Food Facility was designed to support a number of areas relating to improvement in the agricultural sector and to improve food security. The food facility was also directed towards specific countries with 50 being selected for priority, based upon poverty levels and need, vulnerability and high level policy and political environment .The food facility’s operation was limited to a three year period, and came to end in 2011.</w:t>
      </w:r>
    </w:p>
    <w:p w:rsidR="00707A11" w:rsidRDefault="00707A11" w:rsidP="00E12CEA">
      <w:pPr>
        <w:spacing w:after="0" w:line="240" w:lineRule="auto"/>
        <w:ind w:right="288"/>
        <w:jc w:val="both"/>
        <w:rPr>
          <w:rFonts w:ascii="Times New Roman" w:hAnsi="Times New Roman" w:cs="Times New Roman"/>
          <w:b/>
          <w:sz w:val="24"/>
          <w:szCs w:val="24"/>
        </w:rPr>
      </w:pPr>
    </w:p>
    <w:p w:rsidR="00707A11" w:rsidRDefault="00707A11" w:rsidP="00E12CEA">
      <w:pPr>
        <w:spacing w:after="0" w:line="240" w:lineRule="auto"/>
        <w:ind w:right="288"/>
        <w:jc w:val="both"/>
        <w:rPr>
          <w:rFonts w:ascii="Times New Roman" w:hAnsi="Times New Roman" w:cs="Times New Roman"/>
          <w:b/>
          <w:sz w:val="24"/>
          <w:szCs w:val="24"/>
        </w:rPr>
      </w:pPr>
    </w:p>
    <w:p w:rsidR="00C33741" w:rsidRDefault="00F93037" w:rsidP="00E12CEA">
      <w:pPr>
        <w:spacing w:after="0" w:line="240" w:lineRule="auto"/>
        <w:ind w:right="288"/>
        <w:jc w:val="both"/>
        <w:rPr>
          <w:rFonts w:ascii="Times New Roman" w:hAnsi="Times New Roman" w:cs="Times New Roman"/>
          <w:b/>
          <w:sz w:val="24"/>
          <w:szCs w:val="24"/>
        </w:rPr>
      </w:pPr>
      <w:r w:rsidRPr="00B04A17">
        <w:rPr>
          <w:rFonts w:ascii="Times New Roman" w:hAnsi="Times New Roman" w:cs="Times New Roman"/>
          <w:i/>
          <w:iCs/>
          <w:noProof/>
          <w:sz w:val="24"/>
          <w:szCs w:val="24"/>
        </w:rPr>
        <mc:AlternateContent>
          <mc:Choice Requires="wps">
            <w:drawing>
              <wp:anchor distT="0" distB="0" distL="114300" distR="114300" simplePos="0" relativeHeight="251683840" behindDoc="0" locked="0" layoutInCell="1" allowOverlap="1" wp14:anchorId="0387B738" wp14:editId="088C803E">
                <wp:simplePos x="0" y="0"/>
                <wp:positionH relativeFrom="column">
                  <wp:posOffset>445135</wp:posOffset>
                </wp:positionH>
                <wp:positionV relativeFrom="paragraph">
                  <wp:posOffset>-3175</wp:posOffset>
                </wp:positionV>
                <wp:extent cx="5271135" cy="1772285"/>
                <wp:effectExtent l="0" t="0" r="24765" b="1841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1772285"/>
                        </a:xfrm>
                        <a:prstGeom prst="rect">
                          <a:avLst/>
                        </a:prstGeom>
                        <a:solidFill>
                          <a:sysClr val="window" lastClr="FFFFFF">
                            <a:lumMod val="85000"/>
                          </a:sysClr>
                        </a:solidFill>
                        <a:ln w="9525">
                          <a:solidFill>
                            <a:srgbClr val="000000"/>
                          </a:solidFill>
                          <a:miter lim="800000"/>
                          <a:headEnd/>
                          <a:tailEnd/>
                        </a:ln>
                      </wps:spPr>
                      <wps:txbx>
                        <w:txbxContent>
                          <w:p w:rsidR="008E10B3" w:rsidRPr="00F93037" w:rsidRDefault="008E10B3" w:rsidP="00B04A17">
                            <w:pPr>
                              <w:spacing w:after="0" w:line="240" w:lineRule="auto"/>
                              <w:ind w:right="288"/>
                              <w:jc w:val="both"/>
                              <w:rPr>
                                <w:rFonts w:ascii="Times New Roman" w:hAnsi="Times New Roman" w:cs="Times New Roman"/>
                                <w:b/>
                              </w:rPr>
                            </w:pPr>
                            <w:r w:rsidRPr="00F93037">
                              <w:rPr>
                                <w:rFonts w:ascii="Times New Roman" w:hAnsi="Times New Roman" w:cs="Times New Roman"/>
                                <w:b/>
                              </w:rPr>
                              <w:t>Key Issues and Questions for Ministers:</w:t>
                            </w:r>
                          </w:p>
                          <w:p w:rsidR="008E10B3" w:rsidRPr="00F93037" w:rsidRDefault="008E10B3" w:rsidP="00B04A17">
                            <w:pPr>
                              <w:spacing w:after="0" w:line="240" w:lineRule="auto"/>
                              <w:ind w:right="288"/>
                              <w:jc w:val="both"/>
                              <w:rPr>
                                <w:rFonts w:ascii="Times New Roman" w:hAnsi="Times New Roman" w:cs="Times New Roman"/>
                                <w:b/>
                              </w:rPr>
                            </w:pPr>
                          </w:p>
                          <w:p w:rsidR="008E10B3" w:rsidRPr="00FF2013" w:rsidRDefault="008E10B3" w:rsidP="002B3B62">
                            <w:pPr>
                              <w:pStyle w:val="ListParagraph"/>
                              <w:numPr>
                                <w:ilvl w:val="0"/>
                                <w:numId w:val="13"/>
                              </w:numPr>
                              <w:rPr>
                                <w:rFonts w:ascii="Times New Roman" w:hAnsi="Times New Roman" w:cs="Times New Roman"/>
                                <w:b/>
                                <w:sz w:val="24"/>
                                <w:szCs w:val="24"/>
                              </w:rPr>
                            </w:pPr>
                            <w:r w:rsidRPr="00FF2013">
                              <w:rPr>
                                <w:rFonts w:ascii="Times New Roman" w:hAnsi="Times New Roman" w:cs="Times New Roman"/>
                                <w:b/>
                                <w:sz w:val="24"/>
                                <w:szCs w:val="24"/>
                              </w:rPr>
                              <w:t>Do Ministers concur with the view that there is a need to revisit the trigger criteria for accessing the World Bank’s CRW? Do Ministers have any suggestions on how the triggers could be improved?</w:t>
                            </w:r>
                          </w:p>
                          <w:p w:rsidR="008E10B3" w:rsidRPr="00FF2013" w:rsidRDefault="008E10B3" w:rsidP="002B3B62">
                            <w:pPr>
                              <w:pStyle w:val="ListParagraph"/>
                              <w:numPr>
                                <w:ilvl w:val="0"/>
                                <w:numId w:val="13"/>
                              </w:numPr>
                              <w:rPr>
                                <w:rFonts w:ascii="Times New Roman" w:hAnsi="Times New Roman" w:cs="Times New Roman"/>
                                <w:b/>
                                <w:sz w:val="24"/>
                                <w:szCs w:val="24"/>
                              </w:rPr>
                            </w:pPr>
                            <w:r w:rsidRPr="00FF2013">
                              <w:rPr>
                                <w:rFonts w:ascii="Times New Roman" w:hAnsi="Times New Roman" w:cs="Times New Roman"/>
                                <w:b/>
                                <w:sz w:val="24"/>
                                <w:szCs w:val="24"/>
                              </w:rPr>
                              <w:t>What has been the experience of countries in accessing MD8 facilities?</w:t>
                            </w:r>
                          </w:p>
                          <w:p w:rsidR="008E10B3" w:rsidRPr="00FF2013" w:rsidRDefault="008E10B3" w:rsidP="002B3B62">
                            <w:pPr>
                              <w:pStyle w:val="ListParagraph"/>
                              <w:numPr>
                                <w:ilvl w:val="0"/>
                                <w:numId w:val="13"/>
                              </w:numPr>
                              <w:rPr>
                                <w:rFonts w:ascii="Times New Roman" w:hAnsi="Times New Roman" w:cs="Times New Roman"/>
                                <w:b/>
                                <w:sz w:val="24"/>
                                <w:szCs w:val="24"/>
                              </w:rPr>
                            </w:pPr>
                            <w:r w:rsidRPr="00FF2013">
                              <w:rPr>
                                <w:rFonts w:ascii="Times New Roman" w:hAnsi="Times New Roman" w:cs="Times New Roman"/>
                                <w:b/>
                                <w:sz w:val="24"/>
                                <w:szCs w:val="24"/>
                              </w:rPr>
                              <w:t>Do Ministers have views on how these facilities could be improved?</w:t>
                            </w:r>
                          </w:p>
                          <w:p w:rsidR="008E10B3" w:rsidRPr="00F93037" w:rsidRDefault="008E10B3" w:rsidP="00F93037">
                            <w:pPr>
                              <w:rPr>
                                <w:rFonts w:ascii="Times New Roman" w:hAnsi="Times New Roman" w:cs="Times New Roman"/>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05pt;margin-top:-.25pt;width:415.05pt;height:13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RgIAAH4EAAAOAAAAZHJzL2Uyb0RvYy54bWysVNtu2zAMfR+wfxD0vjr24iU16hRdug4D&#10;ugvQ7gMYWY6FSaInKbGzry8lp1m6vQ3zgyBK1CF5Dumr69FotpfOK7Q1zy9mnEkrsFF2W/Pvj3dv&#10;lpz5ALYBjVbW/CA9v169fnU19JUssEPdSMcIxPpq6GvehdBXWeZFJw34C+ylpcsWnYFApttmjYOB&#10;0I3OitnsXTaga3qHQnpPp7fTJV8l/LaVInxtWy8D0zWn3EJaXVo3cc1WV1BtHfSdEsc04B+yMKAs&#10;BT1B3UIAtnPqLyijhEOPbbgQaDJsWyVkqoGqyWd/VPPQQS9TLUSO7080+f8HK77svzmmmpoXC84s&#10;GNLoUY6BvceRFZGeofcVeT305BdGOiaZU6m+v0fxwzOL6w7sVt44h0MnoaH08vgyO3s64fgIshk+&#10;Y0NhYBcwAY2tM5E7YoMROsl0OEkTUxF0WBaLPH9bciboLl8simJZphhQPT/vnQ8fJRoWNzV3pH2C&#10;h/29DzEdqJ5dYjSPWjV3SutkHPxaO7YHahPqrgYHzjT4QIc1v0tfwtI7Q8lPfstyNksNRMA+vU8x&#10;XuBqy4aaX5ZFOVH2Iqbbbk5BCeoM7dzNqEATopWp+fLkBFUk+oNtUv8GUHraUyraHpmPZE+0h3Ez&#10;Tho/C7rB5kBSOJwGggaYNh26X5wNNAw19z934CSR8MmSnJf5fB6nJxnzclGQ4c5vNuc3YAVB1Txw&#10;Nm3XIU1cJNriDcneqiRI7I8pk2PK1OSJw+NAxik6t5PX79/G6gkAAP//AwBQSwMEFAAGAAgAAAAh&#10;AP9T5E7cAAAACAEAAA8AAABkcnMvZG93bnJldi54bWxMj8FOwzAQRO9I/IO1SNxaO5FoS4hTIQRH&#10;KlEKZ9dekoh4bWw3Tf6+5gTH0Yxm3tTbyQ5sxBB7RxKKpQCGpJ3pqZVweH9ZbIDFpMiowRFKmDHC&#10;trm+qlVl3JnecNynluUSipWS0KXkK86j7tCquHQeKXtfLliVsgwtN0Gdc7kdeCnEilvVU17olMen&#10;DvX3/mQlfO58Mc3PP/HV2/EjzEGb6aClvL2ZHh+AJZzSXxh+8TM6NJnp6E5kIhskrEWRkxIWd8Cy&#10;fS9ECewooVxvVsCbmv8/0FwAAAD//wMAUEsBAi0AFAAGAAgAAAAhALaDOJL+AAAA4QEAABMAAAAA&#10;AAAAAAAAAAAAAAAAAFtDb250ZW50X1R5cGVzXS54bWxQSwECLQAUAAYACAAAACEAOP0h/9YAAACU&#10;AQAACwAAAAAAAAAAAAAAAAAvAQAAX3JlbHMvLnJlbHNQSwECLQAUAAYACAAAACEAQf1vk0YCAAB+&#10;BAAADgAAAAAAAAAAAAAAAAAuAgAAZHJzL2Uyb0RvYy54bWxQSwECLQAUAAYACAAAACEA/1PkTtwA&#10;AAAIAQAADwAAAAAAAAAAAAAAAACgBAAAZHJzL2Rvd25yZXYueG1sUEsFBgAAAAAEAAQA8wAAAKkF&#10;AAAAAA==&#10;" fillcolor="#d9d9d9">
                <v:textbox>
                  <w:txbxContent>
                    <w:p w:rsidR="00E71614" w:rsidRPr="00F93037" w:rsidRDefault="00E71614" w:rsidP="00B04A17">
                      <w:pPr>
                        <w:spacing w:after="0" w:line="240" w:lineRule="auto"/>
                        <w:ind w:right="288"/>
                        <w:jc w:val="both"/>
                        <w:rPr>
                          <w:rFonts w:ascii="Times New Roman" w:hAnsi="Times New Roman" w:cs="Times New Roman"/>
                          <w:b/>
                        </w:rPr>
                      </w:pPr>
                      <w:r w:rsidRPr="00F93037">
                        <w:rPr>
                          <w:rFonts w:ascii="Times New Roman" w:hAnsi="Times New Roman" w:cs="Times New Roman"/>
                          <w:b/>
                        </w:rPr>
                        <w:t>Key Issues and Questions for Ministers:</w:t>
                      </w:r>
                    </w:p>
                    <w:p w:rsidR="00E71614" w:rsidRPr="00F93037" w:rsidRDefault="00E71614" w:rsidP="00B04A17">
                      <w:pPr>
                        <w:spacing w:after="0" w:line="240" w:lineRule="auto"/>
                        <w:ind w:right="288"/>
                        <w:jc w:val="both"/>
                        <w:rPr>
                          <w:rFonts w:ascii="Times New Roman" w:hAnsi="Times New Roman" w:cs="Times New Roman"/>
                          <w:b/>
                        </w:rPr>
                      </w:pPr>
                    </w:p>
                    <w:p w:rsidR="00E71614" w:rsidRPr="00FF2013" w:rsidRDefault="00E71614" w:rsidP="002B3B62">
                      <w:pPr>
                        <w:pStyle w:val="ListParagraph"/>
                        <w:numPr>
                          <w:ilvl w:val="0"/>
                          <w:numId w:val="13"/>
                        </w:numPr>
                        <w:rPr>
                          <w:rFonts w:ascii="Times New Roman" w:hAnsi="Times New Roman" w:cs="Times New Roman"/>
                          <w:b/>
                          <w:sz w:val="24"/>
                          <w:szCs w:val="24"/>
                        </w:rPr>
                      </w:pPr>
                      <w:r w:rsidRPr="00FF2013">
                        <w:rPr>
                          <w:rFonts w:ascii="Times New Roman" w:hAnsi="Times New Roman" w:cs="Times New Roman"/>
                          <w:b/>
                          <w:sz w:val="24"/>
                          <w:szCs w:val="24"/>
                        </w:rPr>
                        <w:t>Do Ministers concur with the view that there is a need to revisit the trigger criteria for accessing the World Bank’s CRW? Do Ministers have any suggestions on how the triggers could be improved?</w:t>
                      </w:r>
                    </w:p>
                    <w:p w:rsidR="00E71614" w:rsidRPr="00FF2013" w:rsidRDefault="00E71614" w:rsidP="002B3B62">
                      <w:pPr>
                        <w:pStyle w:val="ListParagraph"/>
                        <w:numPr>
                          <w:ilvl w:val="0"/>
                          <w:numId w:val="13"/>
                        </w:numPr>
                        <w:rPr>
                          <w:rFonts w:ascii="Times New Roman" w:hAnsi="Times New Roman" w:cs="Times New Roman"/>
                          <w:b/>
                          <w:sz w:val="24"/>
                          <w:szCs w:val="24"/>
                        </w:rPr>
                      </w:pPr>
                      <w:r w:rsidRPr="00FF2013">
                        <w:rPr>
                          <w:rFonts w:ascii="Times New Roman" w:hAnsi="Times New Roman" w:cs="Times New Roman"/>
                          <w:b/>
                          <w:sz w:val="24"/>
                          <w:szCs w:val="24"/>
                        </w:rPr>
                        <w:t>What has been the experience of countries in accessing MD8 facilities?</w:t>
                      </w:r>
                    </w:p>
                    <w:p w:rsidR="00E71614" w:rsidRPr="00FF2013" w:rsidRDefault="00E71614" w:rsidP="002B3B62">
                      <w:pPr>
                        <w:pStyle w:val="ListParagraph"/>
                        <w:numPr>
                          <w:ilvl w:val="0"/>
                          <w:numId w:val="13"/>
                        </w:numPr>
                        <w:rPr>
                          <w:rFonts w:ascii="Times New Roman" w:hAnsi="Times New Roman" w:cs="Times New Roman"/>
                          <w:b/>
                          <w:sz w:val="24"/>
                          <w:szCs w:val="24"/>
                        </w:rPr>
                      </w:pPr>
                      <w:r w:rsidRPr="00FF2013">
                        <w:rPr>
                          <w:rFonts w:ascii="Times New Roman" w:hAnsi="Times New Roman" w:cs="Times New Roman"/>
                          <w:b/>
                          <w:sz w:val="24"/>
                          <w:szCs w:val="24"/>
                        </w:rPr>
                        <w:t>Do Ministers have views on how these facilities could be improved?</w:t>
                      </w:r>
                    </w:p>
                    <w:p w:rsidR="00E71614" w:rsidRPr="00F93037" w:rsidRDefault="00E71614" w:rsidP="00F93037">
                      <w:pPr>
                        <w:rPr>
                          <w:rFonts w:ascii="Times New Roman" w:hAnsi="Times New Roman" w:cs="Times New Roman"/>
                          <w:b/>
                        </w:rPr>
                      </w:pPr>
                    </w:p>
                  </w:txbxContent>
                </v:textbox>
              </v:shape>
            </w:pict>
          </mc:Fallback>
        </mc:AlternateContent>
      </w:r>
    </w:p>
    <w:p w:rsidR="00023D46" w:rsidRDefault="00023D46" w:rsidP="00023D46">
      <w:pPr>
        <w:spacing w:after="0" w:line="240" w:lineRule="auto"/>
        <w:ind w:left="709" w:right="288" w:hanging="142"/>
        <w:jc w:val="both"/>
        <w:rPr>
          <w:rFonts w:ascii="Times New Roman" w:hAnsi="Times New Roman" w:cs="Times New Roman"/>
          <w:b/>
          <w:bCs/>
          <w:sz w:val="24"/>
          <w:szCs w:val="24"/>
        </w:rPr>
      </w:pPr>
    </w:p>
    <w:p w:rsidR="00C57678" w:rsidRDefault="00C57678" w:rsidP="00B04A17">
      <w:pPr>
        <w:spacing w:after="0" w:line="240" w:lineRule="auto"/>
        <w:jc w:val="both"/>
        <w:rPr>
          <w:rFonts w:ascii="Times New Roman" w:hAnsi="Times New Roman" w:cs="Times New Roman"/>
          <w:b/>
          <w:sz w:val="24"/>
          <w:szCs w:val="24"/>
        </w:rPr>
      </w:pPr>
    </w:p>
    <w:p w:rsidR="00C57678" w:rsidRDefault="00C57678" w:rsidP="00B04A17">
      <w:pPr>
        <w:spacing w:after="0" w:line="240" w:lineRule="auto"/>
        <w:jc w:val="both"/>
        <w:rPr>
          <w:rFonts w:ascii="Times New Roman" w:hAnsi="Times New Roman" w:cs="Times New Roman"/>
          <w:b/>
          <w:sz w:val="24"/>
          <w:szCs w:val="24"/>
        </w:rPr>
      </w:pPr>
    </w:p>
    <w:p w:rsidR="00C57678" w:rsidRDefault="00C57678" w:rsidP="00B04A17">
      <w:pPr>
        <w:spacing w:after="0" w:line="240" w:lineRule="auto"/>
        <w:jc w:val="both"/>
        <w:rPr>
          <w:rFonts w:ascii="Times New Roman" w:hAnsi="Times New Roman" w:cs="Times New Roman"/>
          <w:b/>
          <w:sz w:val="24"/>
          <w:szCs w:val="24"/>
        </w:rPr>
      </w:pPr>
    </w:p>
    <w:p w:rsidR="00707A11" w:rsidRDefault="00707A11" w:rsidP="00B04A17">
      <w:pPr>
        <w:spacing w:after="0" w:line="240" w:lineRule="auto"/>
        <w:jc w:val="both"/>
        <w:rPr>
          <w:rFonts w:ascii="Times New Roman" w:hAnsi="Times New Roman" w:cs="Times New Roman"/>
          <w:b/>
          <w:sz w:val="24"/>
          <w:szCs w:val="24"/>
        </w:rPr>
      </w:pPr>
    </w:p>
    <w:p w:rsidR="00707A11" w:rsidRDefault="00707A11" w:rsidP="00B04A17">
      <w:pPr>
        <w:spacing w:after="0" w:line="240" w:lineRule="auto"/>
        <w:jc w:val="both"/>
        <w:rPr>
          <w:rFonts w:ascii="Times New Roman" w:hAnsi="Times New Roman" w:cs="Times New Roman"/>
          <w:b/>
          <w:sz w:val="24"/>
          <w:szCs w:val="24"/>
        </w:rPr>
      </w:pPr>
    </w:p>
    <w:p w:rsidR="00707A11" w:rsidRDefault="00707A11" w:rsidP="00B04A17">
      <w:pPr>
        <w:spacing w:after="0" w:line="240" w:lineRule="auto"/>
        <w:jc w:val="both"/>
        <w:rPr>
          <w:rFonts w:ascii="Times New Roman" w:hAnsi="Times New Roman" w:cs="Times New Roman"/>
          <w:b/>
          <w:sz w:val="24"/>
          <w:szCs w:val="24"/>
        </w:rPr>
      </w:pPr>
    </w:p>
    <w:p w:rsidR="00707A11" w:rsidRDefault="00707A11" w:rsidP="00B04A17">
      <w:pPr>
        <w:spacing w:after="0" w:line="240" w:lineRule="auto"/>
        <w:jc w:val="both"/>
        <w:rPr>
          <w:rFonts w:ascii="Times New Roman" w:hAnsi="Times New Roman" w:cs="Times New Roman"/>
          <w:b/>
          <w:sz w:val="24"/>
          <w:szCs w:val="24"/>
        </w:rPr>
      </w:pPr>
    </w:p>
    <w:p w:rsidR="00707A11" w:rsidRDefault="00707A11" w:rsidP="00B04A17">
      <w:pPr>
        <w:spacing w:after="0" w:line="240" w:lineRule="auto"/>
        <w:jc w:val="both"/>
        <w:rPr>
          <w:rFonts w:ascii="Times New Roman" w:hAnsi="Times New Roman" w:cs="Times New Roman"/>
          <w:b/>
          <w:sz w:val="24"/>
          <w:szCs w:val="24"/>
        </w:rPr>
      </w:pPr>
    </w:p>
    <w:p w:rsidR="00707A11" w:rsidRDefault="00707A11" w:rsidP="00B04A17">
      <w:pPr>
        <w:spacing w:after="0" w:line="240" w:lineRule="auto"/>
        <w:jc w:val="both"/>
        <w:rPr>
          <w:rFonts w:ascii="Times New Roman" w:hAnsi="Times New Roman" w:cs="Times New Roman"/>
          <w:b/>
          <w:sz w:val="24"/>
          <w:szCs w:val="24"/>
        </w:rPr>
      </w:pPr>
    </w:p>
    <w:p w:rsidR="00707A11" w:rsidRDefault="00707A11" w:rsidP="00B04A17">
      <w:pPr>
        <w:spacing w:after="0" w:line="240" w:lineRule="auto"/>
        <w:jc w:val="both"/>
        <w:rPr>
          <w:rFonts w:ascii="Times New Roman" w:hAnsi="Times New Roman" w:cs="Times New Roman"/>
          <w:b/>
          <w:sz w:val="24"/>
          <w:szCs w:val="24"/>
        </w:rPr>
      </w:pPr>
    </w:p>
    <w:p w:rsidR="00023D46" w:rsidRPr="00650132" w:rsidRDefault="00023D46" w:rsidP="00650132">
      <w:pPr>
        <w:pStyle w:val="ListParagraph"/>
        <w:numPr>
          <w:ilvl w:val="0"/>
          <w:numId w:val="30"/>
        </w:numPr>
        <w:spacing w:after="0" w:line="240" w:lineRule="auto"/>
        <w:ind w:left="0" w:hanging="11"/>
        <w:jc w:val="both"/>
        <w:rPr>
          <w:rFonts w:ascii="Times New Roman" w:hAnsi="Times New Roman" w:cs="Times New Roman"/>
          <w:b/>
          <w:sz w:val="28"/>
          <w:szCs w:val="28"/>
        </w:rPr>
      </w:pPr>
      <w:r w:rsidRPr="00650132">
        <w:rPr>
          <w:rFonts w:ascii="Times New Roman" w:hAnsi="Times New Roman" w:cs="Times New Roman"/>
          <w:b/>
          <w:sz w:val="28"/>
          <w:szCs w:val="28"/>
        </w:rPr>
        <w:t>A Review of Commonwealth Experience and Policy Lessons</w:t>
      </w:r>
    </w:p>
    <w:p w:rsidR="00023D46" w:rsidRPr="00E12CEA" w:rsidRDefault="00023D46" w:rsidP="00023D46">
      <w:pPr>
        <w:spacing w:after="0" w:line="240" w:lineRule="auto"/>
        <w:ind w:left="709" w:hanging="142"/>
        <w:jc w:val="both"/>
        <w:rPr>
          <w:rFonts w:ascii="Times New Roman" w:hAnsi="Times New Roman" w:cs="Times New Roman"/>
          <w:b/>
          <w:sz w:val="24"/>
          <w:szCs w:val="24"/>
        </w:rPr>
      </w:pPr>
    </w:p>
    <w:p w:rsidR="00023D46"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023D46" w:rsidRPr="00E12CEA">
        <w:rPr>
          <w:rFonts w:ascii="Times New Roman" w:hAnsi="Times New Roman" w:cs="Times New Roman"/>
          <w:sz w:val="24"/>
          <w:szCs w:val="24"/>
        </w:rPr>
        <w:t>.</w:t>
      </w:r>
      <w:r w:rsidR="00023D46" w:rsidRPr="00E12CEA">
        <w:rPr>
          <w:rFonts w:ascii="Times New Roman" w:hAnsi="Times New Roman" w:cs="Times New Roman"/>
          <w:sz w:val="24"/>
          <w:szCs w:val="24"/>
        </w:rPr>
        <w:tab/>
      </w:r>
      <w:r w:rsidR="00023D46">
        <w:rPr>
          <w:rFonts w:ascii="Times New Roman" w:hAnsi="Times New Roman" w:cs="Times New Roman"/>
          <w:sz w:val="24"/>
          <w:szCs w:val="24"/>
        </w:rPr>
        <w:t>In recent years Commonwealth developing countries have been subjected to a very broad range of economic, financial, environmental and other shocks. With membership including 32 small states, 15 small island developing states in the Pacific, Caribbean and Indian Ocean, as well as a large number of poor developing countries in Sub-Saharan Africa and South Asia, the increasing prevalence and deepening magnitude of external shocks has eroded resilience and deepened vulnerability. In turn this has profoundly affected these members’ ability to achieve steady growth, strengthen fragile social safety nets and progress with their poverty alleviation and development objectives. To illustrate these challenges we have briefly considered t</w:t>
      </w:r>
      <w:r w:rsidR="00023D46" w:rsidRPr="00E12CEA">
        <w:rPr>
          <w:rFonts w:ascii="Times New Roman" w:hAnsi="Times New Roman" w:cs="Times New Roman"/>
          <w:sz w:val="24"/>
          <w:szCs w:val="24"/>
        </w:rPr>
        <w:t xml:space="preserve">he experience of five Commonwealth countries: </w:t>
      </w:r>
      <w:r w:rsidR="00023D46" w:rsidRPr="00B04A17">
        <w:rPr>
          <w:rFonts w:ascii="Times New Roman" w:hAnsi="Times New Roman" w:cs="Times New Roman"/>
          <w:b/>
          <w:sz w:val="24"/>
          <w:szCs w:val="24"/>
        </w:rPr>
        <w:t>Malawi; Dominica; Guyana; Mauritius; and Samoa in managing exogenous shocks since 2006</w:t>
      </w:r>
      <w:r w:rsidR="00023D46">
        <w:rPr>
          <w:rFonts w:ascii="Times New Roman" w:hAnsi="Times New Roman" w:cs="Times New Roman"/>
          <w:sz w:val="24"/>
          <w:szCs w:val="24"/>
        </w:rPr>
        <w:t>.</w:t>
      </w:r>
      <w:r w:rsidR="00023D46" w:rsidRPr="00E12CEA">
        <w:rPr>
          <w:rFonts w:ascii="Times New Roman" w:hAnsi="Times New Roman" w:cs="Times New Roman"/>
          <w:sz w:val="24"/>
          <w:szCs w:val="24"/>
        </w:rPr>
        <w:t xml:space="preserve"> </w:t>
      </w:r>
      <w:r w:rsidR="00023D46">
        <w:rPr>
          <w:rFonts w:ascii="Times New Roman" w:hAnsi="Times New Roman" w:cs="Times New Roman"/>
          <w:sz w:val="24"/>
          <w:szCs w:val="24"/>
        </w:rPr>
        <w:t xml:space="preserve">The analysis provides some </w:t>
      </w:r>
      <w:r w:rsidR="00023D46" w:rsidRPr="00E12CEA">
        <w:rPr>
          <w:rFonts w:ascii="Times New Roman" w:hAnsi="Times New Roman" w:cs="Times New Roman"/>
          <w:sz w:val="24"/>
          <w:szCs w:val="24"/>
        </w:rPr>
        <w:t>preliminary country-based evidence as to whether the recent reforms in lending facilities have helped countries better manage their vul</w:t>
      </w:r>
      <w:r w:rsidR="00023D46">
        <w:rPr>
          <w:rFonts w:ascii="Times New Roman" w:hAnsi="Times New Roman" w:cs="Times New Roman"/>
          <w:sz w:val="24"/>
          <w:szCs w:val="24"/>
        </w:rPr>
        <w:t>nerability to exogenous shocks.</w:t>
      </w:r>
    </w:p>
    <w:p w:rsidR="00023D46" w:rsidRPr="00E12CEA" w:rsidRDefault="00023D46" w:rsidP="00023D46">
      <w:pPr>
        <w:spacing w:after="0" w:line="240" w:lineRule="auto"/>
        <w:jc w:val="both"/>
        <w:rPr>
          <w:rFonts w:ascii="Times New Roman" w:hAnsi="Times New Roman" w:cs="Times New Roman"/>
          <w:sz w:val="24"/>
          <w:szCs w:val="24"/>
        </w:rPr>
      </w:pPr>
      <w:r w:rsidRPr="00E12CEA">
        <w:rPr>
          <w:rFonts w:ascii="Times New Roman" w:hAnsi="Times New Roman" w:cs="Times New Roman"/>
          <w:sz w:val="24"/>
          <w:szCs w:val="24"/>
        </w:rPr>
        <w:t xml:space="preserve"> </w:t>
      </w:r>
    </w:p>
    <w:p w:rsidR="00023D46"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023D46" w:rsidRPr="00E12CEA">
        <w:rPr>
          <w:rFonts w:ascii="Times New Roman" w:hAnsi="Times New Roman" w:cs="Times New Roman"/>
          <w:sz w:val="24"/>
          <w:szCs w:val="24"/>
        </w:rPr>
        <w:t>.</w:t>
      </w:r>
      <w:r w:rsidR="00023D46" w:rsidRPr="00E12CEA">
        <w:rPr>
          <w:rFonts w:ascii="Times New Roman" w:hAnsi="Times New Roman" w:cs="Times New Roman"/>
          <w:sz w:val="24"/>
          <w:szCs w:val="24"/>
        </w:rPr>
        <w:tab/>
        <w:t xml:space="preserve">Most Commonwealth countries were hit hard by the food and oil price shocks in 2007-08 and the global economic crisis that started in 2007 and deepened in 2009. This clearly is evidenced by the </w:t>
      </w:r>
      <w:r w:rsidR="00F67511">
        <w:rPr>
          <w:rFonts w:ascii="Times New Roman" w:hAnsi="Times New Roman" w:cs="Times New Roman"/>
          <w:sz w:val="24"/>
          <w:szCs w:val="24"/>
        </w:rPr>
        <w:t xml:space="preserve">above </w:t>
      </w:r>
      <w:r w:rsidR="00023D46" w:rsidRPr="00E12CEA">
        <w:rPr>
          <w:rFonts w:ascii="Times New Roman" w:hAnsi="Times New Roman" w:cs="Times New Roman"/>
          <w:sz w:val="24"/>
          <w:szCs w:val="24"/>
        </w:rPr>
        <w:t xml:space="preserve">five Commonwealth </w:t>
      </w:r>
      <w:r w:rsidR="00C560FF" w:rsidRPr="00E12CEA">
        <w:rPr>
          <w:rFonts w:ascii="Times New Roman" w:hAnsi="Times New Roman" w:cs="Times New Roman"/>
          <w:sz w:val="24"/>
          <w:szCs w:val="24"/>
        </w:rPr>
        <w:t xml:space="preserve">countries </w:t>
      </w:r>
      <w:r w:rsidR="00C560FF">
        <w:rPr>
          <w:rFonts w:ascii="Times New Roman" w:hAnsi="Times New Roman" w:cs="Times New Roman"/>
          <w:sz w:val="24"/>
          <w:szCs w:val="24"/>
        </w:rPr>
        <w:t>since</w:t>
      </w:r>
      <w:r w:rsidR="00023D46" w:rsidRPr="00E12CEA">
        <w:rPr>
          <w:rFonts w:ascii="Times New Roman" w:hAnsi="Times New Roman" w:cs="Times New Roman"/>
          <w:sz w:val="24"/>
          <w:szCs w:val="24"/>
        </w:rPr>
        <w:t xml:space="preserve"> all these countries were hit by both types of shocks. In addition, Dominica was simultaneously hit by hurricanes, and later in 2011, by heavy rains, landslides and a tropical storm; and Samoa was hit by a number of natural disasters, including an earthquake and a tsunami in 2009, as well as   by higher food and fuel prices again.</w:t>
      </w:r>
    </w:p>
    <w:p w:rsidR="00023D46" w:rsidRPr="00E12CEA" w:rsidRDefault="00023D46" w:rsidP="00023D46">
      <w:pPr>
        <w:spacing w:after="0" w:line="240" w:lineRule="auto"/>
        <w:jc w:val="both"/>
        <w:rPr>
          <w:rFonts w:ascii="Times New Roman" w:hAnsi="Times New Roman" w:cs="Times New Roman"/>
          <w:sz w:val="24"/>
          <w:szCs w:val="24"/>
        </w:rPr>
      </w:pPr>
    </w:p>
    <w:p w:rsidR="00023D46"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023D46" w:rsidRPr="00E12CEA">
        <w:rPr>
          <w:rFonts w:ascii="Times New Roman" w:hAnsi="Times New Roman" w:cs="Times New Roman"/>
          <w:sz w:val="24"/>
          <w:szCs w:val="24"/>
        </w:rPr>
        <w:t>.</w:t>
      </w:r>
      <w:r w:rsidR="00023D46" w:rsidRPr="00E12CEA">
        <w:rPr>
          <w:rFonts w:ascii="Times New Roman" w:hAnsi="Times New Roman" w:cs="Times New Roman"/>
          <w:sz w:val="24"/>
          <w:szCs w:val="24"/>
        </w:rPr>
        <w:tab/>
        <w:t xml:space="preserve">At the time the five countries were hit by the 2007-2009 external shocks, they had just experienced moderate to strong growth in the preceding period except Dominica, where average growth had been at 1.9 per cent over 2005-2007. Their responses to the shocks had varying degrees of success. Some countries had benefited from debt relief initiatives </w:t>
      </w:r>
      <w:r w:rsidR="00F67511">
        <w:rPr>
          <w:rFonts w:ascii="Times New Roman" w:hAnsi="Times New Roman" w:cs="Times New Roman"/>
          <w:sz w:val="24"/>
          <w:szCs w:val="24"/>
        </w:rPr>
        <w:t xml:space="preserve">for example </w:t>
      </w:r>
      <w:r w:rsidR="00023D46" w:rsidRPr="00E12CEA">
        <w:rPr>
          <w:rFonts w:ascii="Times New Roman" w:hAnsi="Times New Roman" w:cs="Times New Roman"/>
          <w:sz w:val="24"/>
          <w:szCs w:val="24"/>
        </w:rPr>
        <w:t xml:space="preserve">Guyana and an export boom earlier in the decade; moreover, in a context of faster growth, government revenues were on the up. Growing fiscal and external sector space </w:t>
      </w:r>
      <w:r w:rsidR="00023D46" w:rsidRPr="00E12CEA">
        <w:rPr>
          <w:rFonts w:ascii="Times New Roman" w:hAnsi="Times New Roman" w:cs="Times New Roman"/>
          <w:sz w:val="24"/>
          <w:szCs w:val="24"/>
        </w:rPr>
        <w:lastRenderedPageBreak/>
        <w:t>helped these countries have greater resilience to these sh</w:t>
      </w:r>
      <w:r w:rsidR="00023D46">
        <w:rPr>
          <w:rFonts w:ascii="Times New Roman" w:hAnsi="Times New Roman" w:cs="Times New Roman"/>
          <w:sz w:val="24"/>
          <w:szCs w:val="24"/>
        </w:rPr>
        <w:t xml:space="preserve">ocks; this allowed  several </w:t>
      </w:r>
      <w:r w:rsidR="00023D46" w:rsidRPr="00E12CEA">
        <w:rPr>
          <w:rFonts w:ascii="Times New Roman" w:hAnsi="Times New Roman" w:cs="Times New Roman"/>
          <w:sz w:val="24"/>
          <w:szCs w:val="24"/>
        </w:rPr>
        <w:t>countries, and particularly Mauritius, fight the storm with the result that growth deceleration was just moderate; but both Dominica and Samoa saw growth t</w:t>
      </w:r>
      <w:r w:rsidR="00023D46">
        <w:rPr>
          <w:rFonts w:ascii="Times New Roman" w:hAnsi="Times New Roman" w:cs="Times New Roman"/>
          <w:sz w:val="24"/>
          <w:szCs w:val="24"/>
        </w:rPr>
        <w:t xml:space="preserve">urn negative and remain very </w:t>
      </w:r>
      <w:r w:rsidR="00023D46" w:rsidRPr="00E12CEA">
        <w:rPr>
          <w:rFonts w:ascii="Times New Roman" w:hAnsi="Times New Roman" w:cs="Times New Roman"/>
          <w:sz w:val="24"/>
          <w:szCs w:val="24"/>
        </w:rPr>
        <w:t>low since then. Though there may be other reasons, it is noteworthy that the two smaller economies- both hit by natural disasters, as well as economic shocks</w:t>
      </w:r>
      <w:r w:rsidR="00E71614">
        <w:rPr>
          <w:rFonts w:ascii="Times New Roman" w:hAnsi="Times New Roman" w:cs="Times New Roman"/>
          <w:sz w:val="24"/>
          <w:szCs w:val="24"/>
        </w:rPr>
        <w:t xml:space="preserve"> </w:t>
      </w:r>
      <w:r w:rsidR="00023D46" w:rsidRPr="00E12CEA">
        <w:rPr>
          <w:rFonts w:ascii="Times New Roman" w:hAnsi="Times New Roman" w:cs="Times New Roman"/>
          <w:sz w:val="24"/>
          <w:szCs w:val="24"/>
        </w:rPr>
        <w:t>- were the ones that suffered the sharpest declines in growth.</w:t>
      </w:r>
    </w:p>
    <w:p w:rsidR="00023D46" w:rsidRPr="00E12CEA" w:rsidRDefault="00023D46" w:rsidP="00023D46">
      <w:pPr>
        <w:spacing w:after="0" w:line="240" w:lineRule="auto"/>
        <w:jc w:val="both"/>
        <w:rPr>
          <w:rFonts w:ascii="Times New Roman" w:hAnsi="Times New Roman" w:cs="Times New Roman"/>
          <w:sz w:val="24"/>
          <w:szCs w:val="24"/>
        </w:rPr>
      </w:pPr>
    </w:p>
    <w:p w:rsidR="00023D46"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023D46" w:rsidRPr="00E12CEA">
        <w:rPr>
          <w:rFonts w:ascii="Times New Roman" w:hAnsi="Times New Roman" w:cs="Times New Roman"/>
          <w:sz w:val="24"/>
          <w:szCs w:val="24"/>
        </w:rPr>
        <w:t>.</w:t>
      </w:r>
      <w:r w:rsidR="00023D46" w:rsidRPr="00E12CEA">
        <w:rPr>
          <w:rFonts w:ascii="Times New Roman" w:hAnsi="Times New Roman" w:cs="Times New Roman"/>
          <w:sz w:val="24"/>
          <w:szCs w:val="24"/>
        </w:rPr>
        <w:tab/>
        <w:t>All five countries had access to some shock facilities – the IMF Exogenous Shock Facility (ESF) until the end of 2009; the new IMF Rapid Credit Facility (RCF) from 2010; the EU FLEX and V-FLEX during 2008-2010; and the World Bank’s Pilot Crisis Response Window in 2010-11. Samoa also benefited from the Asian Development Bank Economic Recovery Support Programme.  The amounts received were not, on their own, very large in proportion to the scale of the shocks</w:t>
      </w:r>
      <w:r w:rsidR="00023D46">
        <w:rPr>
          <w:rFonts w:ascii="Times New Roman" w:hAnsi="Times New Roman" w:cs="Times New Roman"/>
          <w:sz w:val="24"/>
          <w:szCs w:val="24"/>
        </w:rPr>
        <w:t>,</w:t>
      </w:r>
      <w:r w:rsidR="00023D46" w:rsidRPr="00E12CEA">
        <w:rPr>
          <w:rFonts w:ascii="Times New Roman" w:hAnsi="Times New Roman" w:cs="Times New Roman"/>
          <w:sz w:val="24"/>
          <w:szCs w:val="24"/>
        </w:rPr>
        <w:t xml:space="preserve"> albeit significantly higher th</w:t>
      </w:r>
      <w:r w:rsidR="00023D46">
        <w:rPr>
          <w:rFonts w:ascii="Times New Roman" w:hAnsi="Times New Roman" w:cs="Times New Roman"/>
          <w:sz w:val="24"/>
          <w:szCs w:val="24"/>
        </w:rPr>
        <w:t>an in previous shocks’ episodes</w:t>
      </w:r>
      <w:r w:rsidR="00023D46" w:rsidRPr="00E12CEA">
        <w:rPr>
          <w:rFonts w:ascii="Times New Roman" w:hAnsi="Times New Roman" w:cs="Times New Roman"/>
          <w:sz w:val="24"/>
          <w:szCs w:val="24"/>
        </w:rPr>
        <w:t>, altogether amounting to between 24-48 per cent of the increase in these countries’ current account deficits</w:t>
      </w:r>
      <w:r w:rsidR="00023D46">
        <w:rPr>
          <w:rFonts w:ascii="Times New Roman" w:hAnsi="Times New Roman" w:cs="Times New Roman"/>
          <w:sz w:val="24"/>
          <w:szCs w:val="24"/>
        </w:rPr>
        <w:t>,</w:t>
      </w:r>
      <w:r w:rsidR="00023D46" w:rsidRPr="00E12CEA">
        <w:rPr>
          <w:rFonts w:ascii="Times New Roman" w:hAnsi="Times New Roman" w:cs="Times New Roman"/>
          <w:sz w:val="24"/>
          <w:szCs w:val="24"/>
        </w:rPr>
        <w:t xml:space="preserve"> </w:t>
      </w:r>
      <w:r w:rsidR="00023D46">
        <w:rPr>
          <w:rFonts w:ascii="Times New Roman" w:hAnsi="Times New Roman" w:cs="Times New Roman"/>
          <w:sz w:val="24"/>
          <w:szCs w:val="24"/>
        </w:rPr>
        <w:t>excluding transfers. I</w:t>
      </w:r>
      <w:r w:rsidR="00023D46" w:rsidRPr="00E12CEA">
        <w:rPr>
          <w:rFonts w:ascii="Times New Roman" w:hAnsi="Times New Roman" w:cs="Times New Roman"/>
          <w:sz w:val="24"/>
          <w:szCs w:val="24"/>
        </w:rPr>
        <w:t>n all cases international reserves in 2008 were at 3.1 months of imports or lower, and thus already bordering or under a threshol</w:t>
      </w:r>
      <w:r w:rsidR="00023D46">
        <w:rPr>
          <w:rFonts w:ascii="Times New Roman" w:hAnsi="Times New Roman" w:cs="Times New Roman"/>
          <w:sz w:val="24"/>
          <w:szCs w:val="24"/>
        </w:rPr>
        <w:t xml:space="preserve">d level understood as critical. Moreover </w:t>
      </w:r>
      <w:r w:rsidR="00023D46" w:rsidRPr="00E12CEA">
        <w:rPr>
          <w:rFonts w:ascii="Times New Roman" w:hAnsi="Times New Roman" w:cs="Times New Roman"/>
          <w:sz w:val="24"/>
          <w:szCs w:val="24"/>
        </w:rPr>
        <w:t xml:space="preserve">where reserves recovered following the access to the shocks’ facilities, this had more to do with the slowdown in growth in which import values contracted, rather than with the facilities themselves. </w:t>
      </w:r>
      <w:r w:rsidR="00023D46">
        <w:rPr>
          <w:rFonts w:ascii="Times New Roman" w:hAnsi="Times New Roman" w:cs="Times New Roman"/>
          <w:sz w:val="24"/>
          <w:szCs w:val="24"/>
        </w:rPr>
        <w:t>For example i</w:t>
      </w:r>
      <w:r w:rsidR="00023D46" w:rsidRPr="00E12CEA">
        <w:rPr>
          <w:rFonts w:ascii="Times New Roman" w:hAnsi="Times New Roman" w:cs="Times New Roman"/>
          <w:sz w:val="24"/>
          <w:szCs w:val="24"/>
        </w:rPr>
        <w:t>n Malawi, where growth slowdown started only in 2010, reserves hit the low of 0.9 month</w:t>
      </w:r>
      <w:r w:rsidR="00023D46">
        <w:rPr>
          <w:rFonts w:ascii="Times New Roman" w:hAnsi="Times New Roman" w:cs="Times New Roman"/>
          <w:sz w:val="24"/>
          <w:szCs w:val="24"/>
        </w:rPr>
        <w:t>s</w:t>
      </w:r>
      <w:r w:rsidR="00023D46" w:rsidRPr="00E12CEA">
        <w:rPr>
          <w:rFonts w:ascii="Times New Roman" w:hAnsi="Times New Roman" w:cs="Times New Roman"/>
          <w:sz w:val="24"/>
          <w:szCs w:val="24"/>
        </w:rPr>
        <w:t xml:space="preserve"> of imports in 2009.</w:t>
      </w:r>
    </w:p>
    <w:p w:rsidR="00023D46" w:rsidRPr="00E12CEA" w:rsidRDefault="00023D46" w:rsidP="00023D46">
      <w:pPr>
        <w:spacing w:after="0" w:line="240" w:lineRule="auto"/>
        <w:jc w:val="both"/>
        <w:rPr>
          <w:rFonts w:ascii="Times New Roman" w:hAnsi="Times New Roman" w:cs="Times New Roman"/>
          <w:sz w:val="24"/>
          <w:szCs w:val="24"/>
        </w:rPr>
      </w:pPr>
    </w:p>
    <w:p w:rsidR="001B7B78"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sidR="00023D46" w:rsidRPr="00E12CEA">
        <w:rPr>
          <w:rFonts w:ascii="Times New Roman" w:hAnsi="Times New Roman" w:cs="Times New Roman"/>
          <w:sz w:val="24"/>
          <w:szCs w:val="24"/>
        </w:rPr>
        <w:t>.</w:t>
      </w:r>
      <w:r w:rsidR="00023D46" w:rsidRPr="00E12CEA">
        <w:rPr>
          <w:rFonts w:ascii="Times New Roman" w:hAnsi="Times New Roman" w:cs="Times New Roman"/>
          <w:sz w:val="24"/>
          <w:szCs w:val="24"/>
        </w:rPr>
        <w:tab/>
      </w:r>
      <w:r w:rsidR="00023D46" w:rsidRPr="005F6851">
        <w:rPr>
          <w:rFonts w:ascii="Times New Roman" w:hAnsi="Times New Roman" w:cs="Times New Roman"/>
          <w:b/>
          <w:sz w:val="24"/>
          <w:szCs w:val="24"/>
        </w:rPr>
        <w:t>A factor that greatly helped these countries address external shocks has been a significant increase in  broader counter-cyclical official loans at critical periods</w:t>
      </w:r>
      <w:r w:rsidR="00023D46" w:rsidRPr="00E12CEA">
        <w:rPr>
          <w:rFonts w:ascii="Times New Roman" w:hAnsi="Times New Roman" w:cs="Times New Roman"/>
          <w:sz w:val="24"/>
          <w:szCs w:val="24"/>
        </w:rPr>
        <w:t xml:space="preserve"> – 2009 in Dominica, Guyana and Mauritius, 2010 in Malawi, and 2009 and 2010 in Samoa. A good deal of increased official flows w</w:t>
      </w:r>
      <w:r w:rsidR="001B7B78">
        <w:rPr>
          <w:rFonts w:ascii="Times New Roman" w:hAnsi="Times New Roman" w:cs="Times New Roman"/>
          <w:sz w:val="24"/>
          <w:szCs w:val="24"/>
        </w:rPr>
        <w:t xml:space="preserve">as from general lending from </w:t>
      </w:r>
      <w:r w:rsidR="00023D46" w:rsidRPr="00E12CEA">
        <w:rPr>
          <w:rFonts w:ascii="Times New Roman" w:hAnsi="Times New Roman" w:cs="Times New Roman"/>
          <w:sz w:val="24"/>
          <w:szCs w:val="24"/>
        </w:rPr>
        <w:t>Multilateral development banks, as well as from the IMF, disbursed through projects and programmes not directly related to the shocks. Therefore, the financing of shocks was supported by both specific shocks facilities, as well as increased counter-cyclical official lending through normal mechanisms, as was the case for all developing c</w:t>
      </w:r>
      <w:r w:rsidR="001B7B78">
        <w:rPr>
          <w:rFonts w:ascii="Times New Roman" w:hAnsi="Times New Roman" w:cs="Times New Roman"/>
          <w:sz w:val="24"/>
          <w:szCs w:val="24"/>
        </w:rPr>
        <w:t>ountries.</w:t>
      </w:r>
    </w:p>
    <w:p w:rsidR="00023D46" w:rsidRPr="00E12CEA" w:rsidRDefault="00023D46" w:rsidP="00023D46">
      <w:pPr>
        <w:spacing w:after="0" w:line="240" w:lineRule="auto"/>
        <w:jc w:val="both"/>
        <w:rPr>
          <w:rFonts w:ascii="Times New Roman" w:hAnsi="Times New Roman" w:cs="Times New Roman"/>
          <w:sz w:val="24"/>
          <w:szCs w:val="24"/>
        </w:rPr>
      </w:pPr>
    </w:p>
    <w:p w:rsidR="00023D46"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00023D46" w:rsidRPr="00E12CEA">
        <w:rPr>
          <w:rFonts w:ascii="Times New Roman" w:hAnsi="Times New Roman" w:cs="Times New Roman"/>
          <w:sz w:val="24"/>
          <w:szCs w:val="24"/>
        </w:rPr>
        <w:t>.</w:t>
      </w:r>
      <w:r w:rsidR="00023D46" w:rsidRPr="00E12CEA">
        <w:rPr>
          <w:rFonts w:ascii="Times New Roman" w:hAnsi="Times New Roman" w:cs="Times New Roman"/>
          <w:sz w:val="24"/>
          <w:szCs w:val="24"/>
        </w:rPr>
        <w:tab/>
      </w:r>
      <w:r w:rsidR="001B7B78">
        <w:rPr>
          <w:rFonts w:ascii="Times New Roman" w:hAnsi="Times New Roman" w:cs="Times New Roman"/>
          <w:sz w:val="24"/>
          <w:szCs w:val="24"/>
        </w:rPr>
        <w:t>Reflecting a broader pattern across Commonwealth developing countries as a whole, workers</w:t>
      </w:r>
      <w:r w:rsidR="00023D46" w:rsidRPr="00E12CEA">
        <w:rPr>
          <w:rFonts w:ascii="Times New Roman" w:hAnsi="Times New Roman" w:cs="Times New Roman"/>
          <w:sz w:val="24"/>
          <w:szCs w:val="24"/>
        </w:rPr>
        <w:t>’ remittances saw a variable behaviour across countries. These went up in Guyana in 2010 and Samoa in 2009-10, but remained flat in Dominica and Malawi. For Bangladesh, a Commonwealth country not analysed here, workers’ remittances played a vital role in helping it sustain high growth throughout the crisis period, and after</w:t>
      </w:r>
      <w:r w:rsidR="001B7B78">
        <w:rPr>
          <w:rFonts w:ascii="Times New Roman" w:hAnsi="Times New Roman" w:cs="Times New Roman"/>
          <w:sz w:val="24"/>
          <w:szCs w:val="24"/>
        </w:rPr>
        <w:t xml:space="preserve"> it</w:t>
      </w:r>
      <w:r w:rsidR="00023D46" w:rsidRPr="00E12CEA">
        <w:rPr>
          <w:rFonts w:ascii="Times New Roman" w:hAnsi="Times New Roman" w:cs="Times New Roman"/>
          <w:sz w:val="24"/>
          <w:szCs w:val="24"/>
        </w:rPr>
        <w:t>. So the role of remittances has been mixed, an outcome possibly explained by their countries of origin – pro-cyclical when coming from the US, but counter-cyclical when coming from the Middle-East.</w:t>
      </w:r>
    </w:p>
    <w:p w:rsidR="00023D46" w:rsidRPr="00E12CEA" w:rsidRDefault="00023D46" w:rsidP="00023D46">
      <w:pPr>
        <w:spacing w:after="0" w:line="240" w:lineRule="auto"/>
        <w:jc w:val="both"/>
        <w:rPr>
          <w:rFonts w:ascii="Times New Roman" w:hAnsi="Times New Roman" w:cs="Times New Roman"/>
          <w:sz w:val="24"/>
          <w:szCs w:val="24"/>
        </w:rPr>
      </w:pPr>
    </w:p>
    <w:p w:rsidR="00023D46"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023D46" w:rsidRPr="00E12CEA">
        <w:rPr>
          <w:rFonts w:ascii="Times New Roman" w:hAnsi="Times New Roman" w:cs="Times New Roman"/>
          <w:sz w:val="24"/>
          <w:szCs w:val="24"/>
        </w:rPr>
        <w:t>.</w:t>
      </w:r>
      <w:r w:rsidR="00023D46" w:rsidRPr="00E12CEA">
        <w:rPr>
          <w:rFonts w:ascii="Times New Roman" w:hAnsi="Times New Roman" w:cs="Times New Roman"/>
          <w:sz w:val="24"/>
          <w:szCs w:val="24"/>
        </w:rPr>
        <w:tab/>
        <w:t>The Commonwealth countries analysed share, as common features, large trade deficits in goods and services, and therefore very large current account deficits. The latter, excluding net transfers, is projected for the year 2012 to be at 30 per cent of GDP in Dominica, nearly 34 per cent in Guyana, 12 per cent in Mauritius (despite its success exports story), and 33 per cent in Samoa; and most of them have high level of dependence on specific types of external resource flows. As a proportion of the current account deficit (excluding transfers), in 2010 workers’ remittances were at 50 per cent in Guyana, and official development assistance was at 94 per cent in Malawi and 74 per cent in Samoa.  Their international reserves are at uncomfortably low levels, although higher compared to their lowest point during the 2007-2009 crises.</w:t>
      </w:r>
    </w:p>
    <w:p w:rsidR="00023D46" w:rsidRPr="00E12CEA" w:rsidRDefault="00023D46" w:rsidP="00023D46">
      <w:pPr>
        <w:spacing w:after="0" w:line="240" w:lineRule="auto"/>
        <w:jc w:val="both"/>
        <w:rPr>
          <w:rFonts w:ascii="Times New Roman" w:hAnsi="Times New Roman" w:cs="Times New Roman"/>
          <w:sz w:val="24"/>
          <w:szCs w:val="24"/>
        </w:rPr>
      </w:pPr>
    </w:p>
    <w:p w:rsidR="00023D46"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w:t>
      </w:r>
      <w:r w:rsidR="00023D46" w:rsidRPr="00E12CEA">
        <w:rPr>
          <w:rFonts w:ascii="Times New Roman" w:hAnsi="Times New Roman" w:cs="Times New Roman"/>
          <w:sz w:val="24"/>
          <w:szCs w:val="24"/>
        </w:rPr>
        <w:t>.</w:t>
      </w:r>
      <w:r w:rsidR="00023D46" w:rsidRPr="00E12CEA">
        <w:rPr>
          <w:rFonts w:ascii="Times New Roman" w:hAnsi="Times New Roman" w:cs="Times New Roman"/>
          <w:sz w:val="24"/>
          <w:szCs w:val="24"/>
        </w:rPr>
        <w:tab/>
        <w:t>All these countries are making great efforts to achieve higher growth and reduce poverty after the 2008-2010 slow down, but government and private sector  efforts are undermined by new shocks, which deviate them from long-term strategic planning due to their need to invest time and technical resources to obtain external financing in the short term.</w:t>
      </w:r>
    </w:p>
    <w:p w:rsidR="00023D46" w:rsidRPr="00E12CEA" w:rsidRDefault="00023D46" w:rsidP="00023D46">
      <w:pPr>
        <w:spacing w:after="0" w:line="240" w:lineRule="auto"/>
        <w:jc w:val="both"/>
        <w:rPr>
          <w:rFonts w:ascii="Times New Roman" w:hAnsi="Times New Roman" w:cs="Times New Roman"/>
          <w:sz w:val="24"/>
          <w:szCs w:val="24"/>
        </w:rPr>
      </w:pPr>
    </w:p>
    <w:p w:rsidR="00023D46"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023D46" w:rsidRPr="00E12CEA">
        <w:rPr>
          <w:rFonts w:ascii="Times New Roman" w:hAnsi="Times New Roman" w:cs="Times New Roman"/>
          <w:sz w:val="24"/>
          <w:szCs w:val="24"/>
        </w:rPr>
        <w:t>.</w:t>
      </w:r>
      <w:r w:rsidR="00023D46" w:rsidRPr="00E12CEA">
        <w:rPr>
          <w:rFonts w:ascii="Times New Roman" w:hAnsi="Times New Roman" w:cs="Times New Roman"/>
          <w:sz w:val="24"/>
          <w:szCs w:val="24"/>
        </w:rPr>
        <w:tab/>
      </w:r>
      <w:r w:rsidR="00023D46" w:rsidRPr="005F6851">
        <w:rPr>
          <w:rFonts w:ascii="Times New Roman" w:hAnsi="Times New Roman" w:cs="Times New Roman"/>
          <w:b/>
          <w:sz w:val="24"/>
          <w:szCs w:val="24"/>
        </w:rPr>
        <w:t>These -and other-developing countries’ large current account deficits, high dependence on specific flows and low levels of international reserves make them all very vulnerable to new external shocks,</w:t>
      </w:r>
      <w:r w:rsidR="00023D46" w:rsidRPr="00E12CEA">
        <w:rPr>
          <w:rFonts w:ascii="Times New Roman" w:hAnsi="Times New Roman" w:cs="Times New Roman"/>
          <w:sz w:val="24"/>
          <w:szCs w:val="24"/>
        </w:rPr>
        <w:t xml:space="preserve"> such as new natural disasters and economic shocks such as a possible deep recession in Europe and a broader slowdown of the international economy. As regards a major slowdown in Europe, including </w:t>
      </w:r>
      <w:r w:rsidR="001B7B78">
        <w:rPr>
          <w:rFonts w:ascii="Times New Roman" w:hAnsi="Times New Roman" w:cs="Times New Roman"/>
          <w:sz w:val="24"/>
          <w:szCs w:val="24"/>
        </w:rPr>
        <w:t xml:space="preserve">the likely prospect of </w:t>
      </w:r>
      <w:r w:rsidR="00023D46" w:rsidRPr="00E12CEA">
        <w:rPr>
          <w:rFonts w:ascii="Times New Roman" w:hAnsi="Times New Roman" w:cs="Times New Roman"/>
          <w:sz w:val="24"/>
          <w:szCs w:val="24"/>
        </w:rPr>
        <w:t xml:space="preserve">negative growth, these countries could be hit hard due to lower export opportunities to European markets, lower workers’ remittances, and also due to possible lower aid flows from the region.  </w:t>
      </w:r>
      <w:r w:rsidR="00023D46" w:rsidRPr="005F6851">
        <w:rPr>
          <w:rFonts w:ascii="Times New Roman" w:hAnsi="Times New Roman" w:cs="Times New Roman"/>
          <w:b/>
          <w:sz w:val="24"/>
          <w:szCs w:val="24"/>
        </w:rPr>
        <w:t>In this case, it seems especially important for other sources of concessional finance – from the IMF, the World Bank/IDA and the regional development banks- to play an even greater role than in the past phase of the global crisis.</w:t>
      </w:r>
      <w:r w:rsidR="00023D46" w:rsidRPr="00E12CEA">
        <w:rPr>
          <w:rFonts w:ascii="Times New Roman" w:hAnsi="Times New Roman" w:cs="Times New Roman"/>
          <w:sz w:val="24"/>
          <w:szCs w:val="24"/>
        </w:rPr>
        <w:t xml:space="preserve"> This is particularly because the buffers which many developing countries had in 2007 have been quite severely eroded. Moreover, if the European crisis becomes global, then other export markets will lose dynamism, and aid flows and workers’ remittances from various parts of the world may be affected as well.  The case for a greater response from the official international community becomes even stronger in such a case.</w:t>
      </w:r>
    </w:p>
    <w:p w:rsidR="0001380F" w:rsidRDefault="0001380F" w:rsidP="00E12CEA">
      <w:pPr>
        <w:spacing w:after="0" w:line="240" w:lineRule="auto"/>
        <w:ind w:right="288"/>
        <w:jc w:val="both"/>
        <w:rPr>
          <w:rFonts w:ascii="Times New Roman" w:hAnsi="Times New Roman" w:cs="Times New Roman"/>
          <w:b/>
          <w:sz w:val="24"/>
          <w:szCs w:val="24"/>
        </w:rPr>
      </w:pPr>
    </w:p>
    <w:p w:rsidR="001B7B78" w:rsidRPr="005F6851" w:rsidRDefault="00C57678" w:rsidP="00B04A17">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55</w:t>
      </w:r>
      <w:r w:rsidR="00E36651">
        <w:rPr>
          <w:rFonts w:ascii="Times New Roman" w:hAnsi="Times New Roman" w:cs="Times New Roman"/>
          <w:sz w:val="24"/>
          <w:szCs w:val="24"/>
        </w:rPr>
        <w:t>.</w:t>
      </w:r>
      <w:r w:rsidR="00E36651">
        <w:rPr>
          <w:rFonts w:ascii="Times New Roman" w:hAnsi="Times New Roman" w:cs="Times New Roman"/>
          <w:sz w:val="24"/>
          <w:szCs w:val="24"/>
        </w:rPr>
        <w:tab/>
      </w:r>
      <w:r w:rsidR="001B7B78" w:rsidRPr="005F6851">
        <w:rPr>
          <w:rFonts w:ascii="Times New Roman" w:hAnsi="Times New Roman" w:cs="Times New Roman"/>
          <w:b/>
          <w:sz w:val="24"/>
          <w:szCs w:val="24"/>
        </w:rPr>
        <w:t>All these factors point to the compelling need, going forward, for a greater proportion of financing linked to shocks, financed by well-designed a</w:t>
      </w:r>
      <w:r w:rsidR="0099260D" w:rsidRPr="005F6851">
        <w:rPr>
          <w:rFonts w:ascii="Times New Roman" w:hAnsi="Times New Roman" w:cs="Times New Roman"/>
          <w:b/>
          <w:sz w:val="24"/>
          <w:szCs w:val="24"/>
        </w:rPr>
        <w:t xml:space="preserve">nd resourced shocks </w:t>
      </w:r>
      <w:r w:rsidR="00C560FF" w:rsidRPr="005F6851">
        <w:rPr>
          <w:rFonts w:ascii="Times New Roman" w:hAnsi="Times New Roman" w:cs="Times New Roman"/>
          <w:b/>
          <w:sz w:val="24"/>
          <w:szCs w:val="24"/>
        </w:rPr>
        <w:t>facilities that</w:t>
      </w:r>
      <w:r w:rsidR="001B7B78" w:rsidRPr="005F6851">
        <w:rPr>
          <w:rFonts w:ascii="Times New Roman" w:hAnsi="Times New Roman" w:cs="Times New Roman"/>
          <w:b/>
          <w:sz w:val="24"/>
          <w:szCs w:val="24"/>
        </w:rPr>
        <w:t xml:space="preserve"> would be of sufficient scale, fast-disbursing and low conditionality.</w:t>
      </w:r>
    </w:p>
    <w:p w:rsidR="0099260D" w:rsidRDefault="0099260D" w:rsidP="00E12CEA">
      <w:pPr>
        <w:spacing w:after="0" w:line="240" w:lineRule="auto"/>
        <w:ind w:right="288"/>
        <w:jc w:val="both"/>
        <w:rPr>
          <w:rFonts w:ascii="Times New Roman" w:hAnsi="Times New Roman" w:cs="Times New Roman"/>
          <w:b/>
          <w:sz w:val="24"/>
          <w:szCs w:val="24"/>
        </w:rPr>
      </w:pPr>
    </w:p>
    <w:p w:rsidR="00E72E81" w:rsidRDefault="00E72E81" w:rsidP="00E12CEA">
      <w:pPr>
        <w:spacing w:after="0" w:line="240" w:lineRule="auto"/>
        <w:ind w:right="288"/>
        <w:jc w:val="both"/>
        <w:rPr>
          <w:rFonts w:ascii="Times New Roman" w:hAnsi="Times New Roman" w:cs="Times New Roman"/>
          <w:b/>
          <w:sz w:val="24"/>
          <w:szCs w:val="24"/>
        </w:rPr>
      </w:pPr>
    </w:p>
    <w:p w:rsidR="00E225DF" w:rsidRPr="00650132" w:rsidRDefault="00E36651" w:rsidP="00650132">
      <w:pPr>
        <w:pStyle w:val="ListParagraph"/>
        <w:numPr>
          <w:ilvl w:val="0"/>
          <w:numId w:val="30"/>
        </w:numPr>
        <w:spacing w:after="0" w:line="240" w:lineRule="auto"/>
        <w:ind w:left="0" w:right="288" w:hanging="11"/>
        <w:jc w:val="both"/>
        <w:rPr>
          <w:rFonts w:ascii="Times New Roman" w:hAnsi="Times New Roman" w:cs="Times New Roman"/>
          <w:b/>
          <w:sz w:val="28"/>
          <w:szCs w:val="28"/>
        </w:rPr>
      </w:pPr>
      <w:r w:rsidRPr="00650132">
        <w:rPr>
          <w:rFonts w:ascii="Times New Roman" w:hAnsi="Times New Roman" w:cs="Times New Roman"/>
          <w:b/>
          <w:sz w:val="28"/>
          <w:szCs w:val="28"/>
        </w:rPr>
        <w:t>Funding for the P</w:t>
      </w:r>
      <w:r w:rsidR="00884475" w:rsidRPr="00650132">
        <w:rPr>
          <w:rFonts w:ascii="Times New Roman" w:hAnsi="Times New Roman" w:cs="Times New Roman"/>
          <w:b/>
          <w:sz w:val="28"/>
          <w:szCs w:val="28"/>
        </w:rPr>
        <w:t>RGT:</w:t>
      </w:r>
      <w:r w:rsidRPr="00650132">
        <w:rPr>
          <w:rFonts w:ascii="Times New Roman" w:hAnsi="Times New Roman" w:cs="Times New Roman"/>
          <w:b/>
          <w:sz w:val="28"/>
          <w:szCs w:val="28"/>
        </w:rPr>
        <w:t xml:space="preserve"> An Urgent Challenge After 2014</w:t>
      </w:r>
    </w:p>
    <w:p w:rsidR="00E225DF" w:rsidRPr="00E12CEA" w:rsidRDefault="00E225DF" w:rsidP="006005F5">
      <w:pPr>
        <w:spacing w:after="0" w:line="240" w:lineRule="auto"/>
        <w:ind w:right="-45"/>
        <w:jc w:val="both"/>
        <w:rPr>
          <w:rFonts w:ascii="Times New Roman" w:hAnsi="Times New Roman" w:cs="Times New Roman"/>
          <w:sz w:val="24"/>
          <w:szCs w:val="24"/>
        </w:rPr>
      </w:pPr>
    </w:p>
    <w:p w:rsidR="00884475"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56</w:t>
      </w:r>
      <w:r w:rsidR="006F226E" w:rsidRPr="00B04A17">
        <w:rPr>
          <w:rFonts w:ascii="Times New Roman" w:hAnsi="Times New Roman" w:cs="Times New Roman"/>
          <w:sz w:val="24"/>
          <w:szCs w:val="24"/>
        </w:rPr>
        <w:t>.</w:t>
      </w:r>
      <w:r w:rsidR="006F226E" w:rsidRPr="00B04A17">
        <w:rPr>
          <w:rFonts w:ascii="Times New Roman" w:hAnsi="Times New Roman" w:cs="Times New Roman"/>
          <w:sz w:val="24"/>
          <w:szCs w:val="24"/>
        </w:rPr>
        <w:tab/>
      </w:r>
      <w:r w:rsidR="00884475">
        <w:rPr>
          <w:rFonts w:ascii="Times New Roman" w:hAnsi="Times New Roman" w:cs="Times New Roman"/>
          <w:sz w:val="24"/>
          <w:szCs w:val="24"/>
        </w:rPr>
        <w:t>Beyond the challenge of increasing the scale and quality of current shock facilities and establishing new facilities which can address the escalating range of external shocks confronting developing countries, a new challenge is emerging which if not urgently addressed will significantly curtail the availability of IMF concessional resources as a whole, thereby inter alia limiting urgently needed shock financing. IMF concessional funding is sourced through the Poverty Reduction and Growth Trust</w:t>
      </w:r>
      <w:r w:rsidR="00067326">
        <w:rPr>
          <w:rFonts w:ascii="Times New Roman" w:hAnsi="Times New Roman" w:cs="Times New Roman"/>
          <w:sz w:val="24"/>
          <w:szCs w:val="24"/>
        </w:rPr>
        <w:t xml:space="preserve"> (PRGT)</w:t>
      </w:r>
      <w:r w:rsidR="00884475">
        <w:rPr>
          <w:rFonts w:ascii="Times New Roman" w:hAnsi="Times New Roman" w:cs="Times New Roman"/>
          <w:sz w:val="24"/>
          <w:szCs w:val="24"/>
        </w:rPr>
        <w:t>.</w:t>
      </w:r>
    </w:p>
    <w:p w:rsidR="00884475" w:rsidRDefault="00884475" w:rsidP="006005F5">
      <w:pPr>
        <w:spacing w:after="0" w:line="240" w:lineRule="auto"/>
        <w:ind w:right="-45"/>
        <w:jc w:val="both"/>
        <w:rPr>
          <w:rFonts w:ascii="Times New Roman" w:hAnsi="Times New Roman" w:cs="Times New Roman"/>
          <w:sz w:val="24"/>
          <w:szCs w:val="24"/>
        </w:rPr>
      </w:pPr>
    </w:p>
    <w:p w:rsidR="00E225DF" w:rsidRPr="00E12CEA"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57</w:t>
      </w:r>
      <w:r w:rsidR="00884475">
        <w:rPr>
          <w:rFonts w:ascii="Times New Roman" w:hAnsi="Times New Roman" w:cs="Times New Roman"/>
          <w:sz w:val="24"/>
          <w:szCs w:val="24"/>
        </w:rPr>
        <w:t>.</w:t>
      </w:r>
      <w:r w:rsidR="00884475">
        <w:rPr>
          <w:rFonts w:ascii="Times New Roman" w:hAnsi="Times New Roman" w:cs="Times New Roman"/>
          <w:sz w:val="24"/>
          <w:szCs w:val="24"/>
        </w:rPr>
        <w:tab/>
        <w:t xml:space="preserve">In the absence of a major crisis, </w:t>
      </w:r>
      <w:r w:rsidR="00F71B73" w:rsidRPr="00E12CEA">
        <w:rPr>
          <w:rFonts w:ascii="Times New Roman" w:hAnsi="Times New Roman" w:cs="Times New Roman"/>
          <w:b/>
          <w:sz w:val="24"/>
          <w:szCs w:val="24"/>
        </w:rPr>
        <w:t>PRGT f</w:t>
      </w:r>
      <w:r w:rsidR="00E225DF" w:rsidRPr="00E12CEA">
        <w:rPr>
          <w:rFonts w:ascii="Times New Roman" w:hAnsi="Times New Roman" w:cs="Times New Roman"/>
          <w:b/>
          <w:sz w:val="24"/>
          <w:szCs w:val="24"/>
        </w:rPr>
        <w:t>unding s</w:t>
      </w:r>
      <w:r w:rsidR="00F71B73" w:rsidRPr="00E12CEA">
        <w:rPr>
          <w:rFonts w:ascii="Times New Roman" w:hAnsi="Times New Roman" w:cs="Times New Roman"/>
          <w:b/>
          <w:sz w:val="24"/>
          <w:szCs w:val="24"/>
        </w:rPr>
        <w:t xml:space="preserve">eems adequate </w:t>
      </w:r>
      <w:r w:rsidR="00067326">
        <w:rPr>
          <w:rFonts w:ascii="Times New Roman" w:hAnsi="Times New Roman" w:cs="Times New Roman"/>
          <w:b/>
          <w:sz w:val="24"/>
          <w:szCs w:val="24"/>
        </w:rPr>
        <w:t>until</w:t>
      </w:r>
      <w:r w:rsidR="00F71B73" w:rsidRPr="00E12CEA">
        <w:rPr>
          <w:rFonts w:ascii="Times New Roman" w:hAnsi="Times New Roman" w:cs="Times New Roman"/>
          <w:b/>
          <w:sz w:val="24"/>
          <w:szCs w:val="24"/>
        </w:rPr>
        <w:t xml:space="preserve"> 2014</w:t>
      </w:r>
      <w:r w:rsidR="00884475">
        <w:rPr>
          <w:rFonts w:ascii="Times New Roman" w:hAnsi="Times New Roman" w:cs="Times New Roman"/>
          <w:b/>
          <w:sz w:val="24"/>
          <w:szCs w:val="24"/>
        </w:rPr>
        <w:t xml:space="preserve">. </w:t>
      </w:r>
      <w:r w:rsidR="00884475">
        <w:rPr>
          <w:rFonts w:ascii="Times New Roman" w:hAnsi="Times New Roman" w:cs="Times New Roman"/>
          <w:sz w:val="24"/>
          <w:szCs w:val="24"/>
        </w:rPr>
        <w:t xml:space="preserve">The IMF Executive Board has </w:t>
      </w:r>
      <w:r w:rsidR="00884475" w:rsidRPr="00B04A17">
        <w:rPr>
          <w:rFonts w:ascii="Times New Roman" w:hAnsi="Times New Roman" w:cs="Times New Roman"/>
          <w:sz w:val="24"/>
          <w:szCs w:val="24"/>
        </w:rPr>
        <w:t>approved the partial distribution of the Fund’s general reserve to the membership of SDR 700 million attributed to part of the windfall profits from recent gold sales to raise SDR 0.6 billion in subsidy resources</w:t>
      </w:r>
      <w:r w:rsidR="00884475" w:rsidRPr="00E12CEA">
        <w:rPr>
          <w:rFonts w:ascii="Times New Roman" w:hAnsi="Times New Roman" w:cs="Times New Roman"/>
          <w:sz w:val="24"/>
          <w:szCs w:val="24"/>
        </w:rPr>
        <w:t>. The distribution will be effected once satisfactory assurances have been received from the membership that new PRGT subsidy contributions equivalent to at least 90 per cent of the amount distributed</w:t>
      </w:r>
      <w:r w:rsidR="00884475">
        <w:rPr>
          <w:rFonts w:ascii="Times New Roman" w:hAnsi="Times New Roman" w:cs="Times New Roman"/>
          <w:sz w:val="24"/>
          <w:szCs w:val="24"/>
        </w:rPr>
        <w:t xml:space="preserve">. </w:t>
      </w:r>
      <w:r w:rsidR="00E225DF" w:rsidRPr="00B04A17">
        <w:rPr>
          <w:rFonts w:ascii="Times New Roman" w:hAnsi="Times New Roman" w:cs="Times New Roman"/>
          <w:sz w:val="24"/>
          <w:szCs w:val="24"/>
        </w:rPr>
        <w:t>Commitments under new PRGT-supported programs are expe</w:t>
      </w:r>
      <w:r w:rsidR="00F71B73" w:rsidRPr="00B04A17">
        <w:rPr>
          <w:rFonts w:ascii="Times New Roman" w:hAnsi="Times New Roman" w:cs="Times New Roman"/>
          <w:sz w:val="24"/>
          <w:szCs w:val="24"/>
        </w:rPr>
        <w:t xml:space="preserve">cted to increase in 2012 </w:t>
      </w:r>
      <w:r w:rsidR="00E225DF" w:rsidRPr="00B04A17">
        <w:rPr>
          <w:rFonts w:ascii="Times New Roman" w:hAnsi="Times New Roman" w:cs="Times New Roman"/>
          <w:sz w:val="24"/>
          <w:szCs w:val="24"/>
        </w:rPr>
        <w:t xml:space="preserve">reflecting the weaker global economic outlook, as well as </w:t>
      </w:r>
      <w:r w:rsidR="0047177B" w:rsidRPr="00B04A17">
        <w:rPr>
          <w:rFonts w:ascii="Times New Roman" w:hAnsi="Times New Roman" w:cs="Times New Roman"/>
          <w:sz w:val="24"/>
          <w:szCs w:val="24"/>
        </w:rPr>
        <w:t xml:space="preserve">  a </w:t>
      </w:r>
      <w:r w:rsidR="00E225DF" w:rsidRPr="00B04A17">
        <w:rPr>
          <w:rFonts w:ascii="Times New Roman" w:hAnsi="Times New Roman" w:cs="Times New Roman"/>
          <w:sz w:val="24"/>
          <w:szCs w:val="24"/>
        </w:rPr>
        <w:t>very big programme for Bangladesh</w:t>
      </w:r>
      <w:r w:rsidR="00F71B73" w:rsidRPr="00884475">
        <w:rPr>
          <w:rFonts w:ascii="Times New Roman" w:hAnsi="Times New Roman" w:cs="Times New Roman"/>
          <w:sz w:val="24"/>
          <w:szCs w:val="24"/>
        </w:rPr>
        <w:t>.</w:t>
      </w:r>
      <w:r w:rsidR="00884475">
        <w:rPr>
          <w:rFonts w:ascii="Times New Roman" w:hAnsi="Times New Roman" w:cs="Times New Roman"/>
          <w:sz w:val="24"/>
          <w:szCs w:val="24"/>
        </w:rPr>
        <w:t xml:space="preserve"> </w:t>
      </w:r>
      <w:r w:rsidR="00341A21" w:rsidRPr="00884475">
        <w:rPr>
          <w:rFonts w:ascii="Times New Roman" w:hAnsi="Times New Roman" w:cs="Times New Roman"/>
          <w:sz w:val="24"/>
          <w:szCs w:val="24"/>
        </w:rPr>
        <w:t>IM</w:t>
      </w:r>
      <w:r w:rsidR="00E225DF" w:rsidRPr="00884475">
        <w:rPr>
          <w:rFonts w:ascii="Times New Roman" w:hAnsi="Times New Roman" w:cs="Times New Roman"/>
          <w:sz w:val="24"/>
          <w:szCs w:val="24"/>
        </w:rPr>
        <w:t>F staff projectio</w:t>
      </w:r>
      <w:r w:rsidR="00C72C1C" w:rsidRPr="00884475">
        <w:rPr>
          <w:rFonts w:ascii="Times New Roman" w:hAnsi="Times New Roman" w:cs="Times New Roman"/>
          <w:sz w:val="24"/>
          <w:szCs w:val="24"/>
        </w:rPr>
        <w:t>ns suggest demand could rise to</w:t>
      </w:r>
      <w:r w:rsidR="0047177B" w:rsidRPr="00884475">
        <w:rPr>
          <w:rFonts w:ascii="Times New Roman" w:hAnsi="Times New Roman" w:cs="Times New Roman"/>
          <w:sz w:val="24"/>
          <w:szCs w:val="24"/>
        </w:rPr>
        <w:t xml:space="preserve"> </w:t>
      </w:r>
      <w:r w:rsidR="006E2189" w:rsidRPr="00884475">
        <w:rPr>
          <w:rFonts w:ascii="Times New Roman" w:hAnsi="Times New Roman" w:cs="Times New Roman"/>
          <w:sz w:val="24"/>
          <w:szCs w:val="24"/>
        </w:rPr>
        <w:t xml:space="preserve">about </w:t>
      </w:r>
      <w:r w:rsidR="00E225DF" w:rsidRPr="00884475">
        <w:rPr>
          <w:rFonts w:ascii="Times New Roman" w:hAnsi="Times New Roman" w:cs="Times New Roman"/>
          <w:sz w:val="24"/>
          <w:szCs w:val="24"/>
        </w:rPr>
        <w:t>SDR 2.2 billion in 2012 in a high demand scenario linked to a slowdown in the world economy and significant do</w:t>
      </w:r>
      <w:r w:rsidR="00E225DF" w:rsidRPr="00E12CEA">
        <w:rPr>
          <w:rFonts w:ascii="Times New Roman" w:hAnsi="Times New Roman" w:cs="Times New Roman"/>
          <w:sz w:val="24"/>
          <w:szCs w:val="24"/>
        </w:rPr>
        <w:t>wnside risks; with a low demand scenario demand for 2012-2015 would be estima</w:t>
      </w:r>
      <w:r w:rsidR="00C72C1C" w:rsidRPr="00E12CEA">
        <w:rPr>
          <w:rFonts w:ascii="Times New Roman" w:hAnsi="Times New Roman" w:cs="Times New Roman"/>
          <w:sz w:val="24"/>
          <w:szCs w:val="24"/>
        </w:rPr>
        <w:t xml:space="preserve">ted to reach only 1.6 billion (IMF 2012). </w:t>
      </w:r>
      <w:r w:rsidR="00E225DF" w:rsidRPr="00E12CEA">
        <w:rPr>
          <w:rFonts w:ascii="Times New Roman" w:hAnsi="Times New Roman" w:cs="Times New Roman"/>
          <w:sz w:val="24"/>
          <w:szCs w:val="24"/>
        </w:rPr>
        <w:t xml:space="preserve">If all elements of the 2009 financing package are secured, which seems fairly likely, the PRGT will have an annual average lending capacity of SDR 2.2 billion over 2012–14, or SDR 1.6 billion through 2015. </w:t>
      </w:r>
    </w:p>
    <w:p w:rsidR="00E225DF" w:rsidRPr="00E12CEA" w:rsidRDefault="00DC2EAD" w:rsidP="006005F5">
      <w:pPr>
        <w:spacing w:after="0" w:line="240" w:lineRule="auto"/>
        <w:ind w:right="-45"/>
        <w:jc w:val="both"/>
        <w:rPr>
          <w:rFonts w:ascii="Times New Roman" w:hAnsi="Times New Roman" w:cs="Times New Roman"/>
          <w:sz w:val="24"/>
          <w:szCs w:val="24"/>
        </w:rPr>
      </w:pPr>
      <w:r w:rsidRPr="00E12CEA">
        <w:rPr>
          <w:rFonts w:ascii="Times New Roman" w:hAnsi="Times New Roman" w:cs="Times New Roman"/>
          <w:sz w:val="24"/>
          <w:szCs w:val="24"/>
        </w:rPr>
        <w:t xml:space="preserve"> </w:t>
      </w:r>
    </w:p>
    <w:p w:rsidR="007D5489" w:rsidRDefault="00C57678" w:rsidP="006005F5">
      <w:pPr>
        <w:tabs>
          <w:tab w:val="left" w:pos="567"/>
        </w:tabs>
        <w:spacing w:after="0" w:line="240" w:lineRule="auto"/>
        <w:ind w:right="-45"/>
        <w:jc w:val="both"/>
        <w:rPr>
          <w:rFonts w:ascii="Times New Roman" w:hAnsi="Times New Roman" w:cs="Times New Roman"/>
          <w:b/>
          <w:sz w:val="24"/>
          <w:szCs w:val="24"/>
        </w:rPr>
      </w:pPr>
      <w:r w:rsidRPr="00B04A17">
        <w:rPr>
          <w:rFonts w:ascii="Times New Roman" w:hAnsi="Times New Roman" w:cs="Times New Roman"/>
          <w:sz w:val="24"/>
          <w:szCs w:val="24"/>
        </w:rPr>
        <w:lastRenderedPageBreak/>
        <w:t>58</w:t>
      </w:r>
      <w:r w:rsidR="006F226E" w:rsidRPr="00B04A17">
        <w:rPr>
          <w:rFonts w:ascii="Times New Roman" w:hAnsi="Times New Roman" w:cs="Times New Roman"/>
          <w:sz w:val="24"/>
          <w:szCs w:val="24"/>
        </w:rPr>
        <w:t>.</w:t>
      </w:r>
      <w:r w:rsidR="006F226E" w:rsidRPr="00E12CEA">
        <w:rPr>
          <w:rFonts w:ascii="Times New Roman" w:hAnsi="Times New Roman" w:cs="Times New Roman"/>
          <w:b/>
          <w:sz w:val="24"/>
          <w:szCs w:val="24"/>
        </w:rPr>
        <w:tab/>
      </w:r>
      <w:r w:rsidR="00E225DF" w:rsidRPr="00B04A17">
        <w:rPr>
          <w:rFonts w:ascii="Times New Roman" w:hAnsi="Times New Roman" w:cs="Times New Roman"/>
          <w:sz w:val="24"/>
          <w:szCs w:val="24"/>
        </w:rPr>
        <w:t xml:space="preserve">Progress has </w:t>
      </w:r>
      <w:r w:rsidR="007D5489">
        <w:rPr>
          <w:rFonts w:ascii="Times New Roman" w:hAnsi="Times New Roman" w:cs="Times New Roman"/>
          <w:sz w:val="24"/>
          <w:szCs w:val="24"/>
        </w:rPr>
        <w:t xml:space="preserve">also </w:t>
      </w:r>
      <w:r w:rsidR="00E225DF" w:rsidRPr="00B04A17">
        <w:rPr>
          <w:rFonts w:ascii="Times New Roman" w:hAnsi="Times New Roman" w:cs="Times New Roman"/>
          <w:sz w:val="24"/>
          <w:szCs w:val="24"/>
        </w:rPr>
        <w:t xml:space="preserve">been made in securing limited new pledges of bilateral subsidy resources for </w:t>
      </w:r>
      <w:r w:rsidR="007D5489">
        <w:rPr>
          <w:rFonts w:ascii="Times New Roman" w:hAnsi="Times New Roman" w:cs="Times New Roman"/>
          <w:sz w:val="24"/>
          <w:szCs w:val="24"/>
        </w:rPr>
        <w:t>2</w:t>
      </w:r>
      <w:r w:rsidR="00E225DF" w:rsidRPr="00B04A17">
        <w:rPr>
          <w:rFonts w:ascii="Times New Roman" w:hAnsi="Times New Roman" w:cs="Times New Roman"/>
          <w:sz w:val="24"/>
          <w:szCs w:val="24"/>
        </w:rPr>
        <w:t>009-2014 period</w:t>
      </w:r>
      <w:r w:rsidR="00067326">
        <w:rPr>
          <w:rFonts w:ascii="Times New Roman" w:hAnsi="Times New Roman" w:cs="Times New Roman"/>
          <w:sz w:val="24"/>
          <w:szCs w:val="24"/>
        </w:rPr>
        <w:t>.</w:t>
      </w:r>
      <w:r w:rsidR="00534299">
        <w:rPr>
          <w:rFonts w:ascii="Times New Roman" w:hAnsi="Times New Roman" w:cs="Times New Roman"/>
          <w:sz w:val="24"/>
          <w:szCs w:val="24"/>
        </w:rPr>
        <w:t xml:space="preserve"> </w:t>
      </w:r>
      <w:r w:rsidR="00884475" w:rsidRPr="005F6851">
        <w:rPr>
          <w:rFonts w:ascii="Times New Roman" w:hAnsi="Times New Roman" w:cs="Times New Roman"/>
          <w:b/>
          <w:sz w:val="24"/>
          <w:szCs w:val="24"/>
        </w:rPr>
        <w:t>Several Commonwealth developed country members have made significant contributions to the PRGT</w:t>
      </w:r>
      <w:r w:rsidR="007D5489" w:rsidRPr="005F6851">
        <w:rPr>
          <w:rFonts w:ascii="Times New Roman" w:hAnsi="Times New Roman" w:cs="Times New Roman"/>
          <w:b/>
          <w:sz w:val="24"/>
          <w:szCs w:val="24"/>
        </w:rPr>
        <w:t xml:space="preserve">, including inter alia the </w:t>
      </w:r>
      <w:r w:rsidR="00E225DF" w:rsidRPr="005F6851">
        <w:rPr>
          <w:rFonts w:ascii="Times New Roman" w:hAnsi="Times New Roman" w:cs="Times New Roman"/>
          <w:b/>
          <w:sz w:val="24"/>
          <w:szCs w:val="24"/>
        </w:rPr>
        <w:t>UK, Au</w:t>
      </w:r>
      <w:r w:rsidR="00C3577A" w:rsidRPr="005F6851">
        <w:rPr>
          <w:rFonts w:ascii="Times New Roman" w:hAnsi="Times New Roman" w:cs="Times New Roman"/>
          <w:b/>
          <w:sz w:val="24"/>
          <w:szCs w:val="24"/>
        </w:rPr>
        <w:t>stralia and Canada</w:t>
      </w:r>
      <w:r w:rsidR="007D5489" w:rsidRPr="005F6851">
        <w:rPr>
          <w:rFonts w:ascii="Times New Roman" w:hAnsi="Times New Roman" w:cs="Times New Roman"/>
          <w:b/>
          <w:sz w:val="24"/>
          <w:szCs w:val="24"/>
        </w:rPr>
        <w:t xml:space="preserve"> and other Commonwealth members. As a consequence,</w:t>
      </w:r>
      <w:r w:rsidR="007D5489">
        <w:rPr>
          <w:rFonts w:ascii="Times New Roman" w:hAnsi="Times New Roman" w:cs="Times New Roman"/>
          <w:sz w:val="24"/>
          <w:szCs w:val="24"/>
        </w:rPr>
        <w:t xml:space="preserve"> </w:t>
      </w:r>
      <w:r w:rsidR="007D5489" w:rsidRPr="00614DFC">
        <w:rPr>
          <w:rFonts w:ascii="Times New Roman" w:hAnsi="Times New Roman" w:cs="Times New Roman"/>
          <w:b/>
          <w:sz w:val="24"/>
          <w:szCs w:val="24"/>
        </w:rPr>
        <w:t>the PRGT has sufficient capacity to accommodate a higher level of demand during th</w:t>
      </w:r>
      <w:r w:rsidR="007D5489">
        <w:rPr>
          <w:rFonts w:ascii="Times New Roman" w:hAnsi="Times New Roman" w:cs="Times New Roman"/>
          <w:b/>
          <w:sz w:val="24"/>
          <w:szCs w:val="24"/>
        </w:rPr>
        <w:t>is p</w:t>
      </w:r>
      <w:r w:rsidR="007D5489" w:rsidRPr="00614DFC">
        <w:rPr>
          <w:rFonts w:ascii="Times New Roman" w:hAnsi="Times New Roman" w:cs="Times New Roman"/>
          <w:b/>
          <w:sz w:val="24"/>
          <w:szCs w:val="24"/>
        </w:rPr>
        <w:t>eriod</w:t>
      </w:r>
      <w:r w:rsidR="007D5489">
        <w:rPr>
          <w:rFonts w:ascii="Times New Roman" w:hAnsi="Times New Roman" w:cs="Times New Roman"/>
          <w:b/>
          <w:sz w:val="24"/>
          <w:szCs w:val="24"/>
        </w:rPr>
        <w:t>.</w:t>
      </w:r>
    </w:p>
    <w:p w:rsidR="00823DD4" w:rsidRDefault="00823DD4" w:rsidP="006005F5">
      <w:pPr>
        <w:spacing w:after="0" w:line="240" w:lineRule="auto"/>
        <w:ind w:right="-45"/>
        <w:jc w:val="both"/>
        <w:rPr>
          <w:rFonts w:ascii="Times New Roman" w:hAnsi="Times New Roman" w:cs="Times New Roman"/>
          <w:b/>
          <w:sz w:val="24"/>
          <w:szCs w:val="24"/>
        </w:rPr>
      </w:pPr>
    </w:p>
    <w:p w:rsidR="00E225DF" w:rsidRPr="00823DD4" w:rsidRDefault="00C57678" w:rsidP="006005F5">
      <w:pPr>
        <w:tabs>
          <w:tab w:val="left" w:pos="567"/>
        </w:tabs>
        <w:spacing w:after="0" w:line="240" w:lineRule="auto"/>
        <w:ind w:right="-45"/>
        <w:jc w:val="both"/>
        <w:rPr>
          <w:rFonts w:ascii="Times New Roman" w:hAnsi="Times New Roman" w:cs="Times New Roman"/>
          <w:sz w:val="24"/>
          <w:szCs w:val="24"/>
        </w:rPr>
      </w:pPr>
      <w:r w:rsidRPr="00B04A17">
        <w:rPr>
          <w:rFonts w:ascii="Times New Roman" w:hAnsi="Times New Roman" w:cs="Times New Roman"/>
          <w:sz w:val="24"/>
          <w:szCs w:val="24"/>
        </w:rPr>
        <w:t>59</w:t>
      </w:r>
      <w:r w:rsidR="006F226E" w:rsidRPr="00B04A17">
        <w:rPr>
          <w:rFonts w:ascii="Times New Roman" w:hAnsi="Times New Roman" w:cs="Times New Roman"/>
          <w:sz w:val="24"/>
          <w:szCs w:val="24"/>
        </w:rPr>
        <w:t>.</w:t>
      </w:r>
      <w:r w:rsidR="006F226E" w:rsidRPr="00E12CEA">
        <w:rPr>
          <w:rFonts w:ascii="Times New Roman" w:hAnsi="Times New Roman" w:cs="Times New Roman"/>
          <w:b/>
          <w:sz w:val="24"/>
          <w:szCs w:val="24"/>
        </w:rPr>
        <w:tab/>
      </w:r>
      <w:r w:rsidR="00823DD4">
        <w:rPr>
          <w:rFonts w:ascii="Times New Roman" w:hAnsi="Times New Roman" w:cs="Times New Roman"/>
          <w:b/>
          <w:sz w:val="24"/>
          <w:szCs w:val="24"/>
        </w:rPr>
        <w:t>However the f</w:t>
      </w:r>
      <w:r w:rsidR="00E225DF" w:rsidRPr="00E12CEA">
        <w:rPr>
          <w:rFonts w:ascii="Times New Roman" w:hAnsi="Times New Roman" w:cs="Times New Roman"/>
          <w:b/>
          <w:sz w:val="24"/>
          <w:szCs w:val="24"/>
        </w:rPr>
        <w:t>unding capacity of PRGT is woefully inadequate post</w:t>
      </w:r>
      <w:r w:rsidR="00823DD4">
        <w:rPr>
          <w:rFonts w:ascii="Times New Roman" w:hAnsi="Times New Roman" w:cs="Times New Roman"/>
          <w:b/>
          <w:sz w:val="24"/>
          <w:szCs w:val="24"/>
        </w:rPr>
        <w:t>-</w:t>
      </w:r>
      <w:r w:rsidR="00E225DF" w:rsidRPr="00E12CEA">
        <w:rPr>
          <w:rFonts w:ascii="Times New Roman" w:hAnsi="Times New Roman" w:cs="Times New Roman"/>
          <w:b/>
          <w:sz w:val="24"/>
          <w:szCs w:val="24"/>
        </w:rPr>
        <w:t xml:space="preserve">2014. </w:t>
      </w:r>
      <w:r w:rsidR="00E225DF" w:rsidRPr="005F6851">
        <w:rPr>
          <w:rFonts w:ascii="Times New Roman" w:hAnsi="Times New Roman" w:cs="Times New Roman"/>
          <w:sz w:val="24"/>
          <w:szCs w:val="24"/>
        </w:rPr>
        <w:t xml:space="preserve">This could threaten to reduce seriously </w:t>
      </w:r>
      <w:r w:rsidR="00C72C1C" w:rsidRPr="005F6851">
        <w:rPr>
          <w:rFonts w:ascii="Times New Roman" w:hAnsi="Times New Roman" w:cs="Times New Roman"/>
          <w:sz w:val="24"/>
          <w:szCs w:val="24"/>
        </w:rPr>
        <w:t xml:space="preserve">the </w:t>
      </w:r>
      <w:r w:rsidR="00E225DF" w:rsidRPr="005F6851">
        <w:rPr>
          <w:rFonts w:ascii="Times New Roman" w:hAnsi="Times New Roman" w:cs="Times New Roman"/>
          <w:sz w:val="24"/>
          <w:szCs w:val="24"/>
        </w:rPr>
        <w:t>level of IMF lending to LICs</w:t>
      </w:r>
      <w:r w:rsidR="000056CD" w:rsidRPr="005F6851">
        <w:rPr>
          <w:rFonts w:ascii="Times New Roman" w:hAnsi="Times New Roman" w:cs="Times New Roman"/>
          <w:sz w:val="24"/>
          <w:szCs w:val="24"/>
        </w:rPr>
        <w:t>, including shocks</w:t>
      </w:r>
      <w:r w:rsidR="000056CD" w:rsidRPr="00E12CEA">
        <w:rPr>
          <w:rFonts w:ascii="Times New Roman" w:hAnsi="Times New Roman" w:cs="Times New Roman"/>
          <w:b/>
          <w:sz w:val="24"/>
          <w:szCs w:val="24"/>
        </w:rPr>
        <w:t xml:space="preserve"> </w:t>
      </w:r>
      <w:r w:rsidR="000056CD" w:rsidRPr="005F6851">
        <w:rPr>
          <w:rFonts w:ascii="Times New Roman" w:hAnsi="Times New Roman" w:cs="Times New Roman"/>
          <w:sz w:val="24"/>
          <w:szCs w:val="24"/>
        </w:rPr>
        <w:t>financing,</w:t>
      </w:r>
      <w:r w:rsidR="00E225DF" w:rsidRPr="005F6851">
        <w:rPr>
          <w:rFonts w:ascii="Times New Roman" w:hAnsi="Times New Roman" w:cs="Times New Roman"/>
          <w:sz w:val="24"/>
          <w:szCs w:val="24"/>
        </w:rPr>
        <w:t xml:space="preserve"> unless action taken.</w:t>
      </w:r>
      <w:r w:rsidR="00E225DF" w:rsidRPr="00E12CEA">
        <w:rPr>
          <w:rFonts w:ascii="Times New Roman" w:hAnsi="Times New Roman" w:cs="Times New Roman"/>
          <w:b/>
          <w:sz w:val="24"/>
          <w:szCs w:val="24"/>
        </w:rPr>
        <w:t xml:space="preserve"> </w:t>
      </w:r>
      <w:r w:rsidR="00823DD4" w:rsidRPr="00B04A17">
        <w:rPr>
          <w:rFonts w:ascii="Times New Roman" w:hAnsi="Times New Roman" w:cs="Times New Roman"/>
          <w:sz w:val="24"/>
          <w:szCs w:val="24"/>
        </w:rPr>
        <w:t>T</w:t>
      </w:r>
      <w:r w:rsidR="00E225DF" w:rsidRPr="00B04A17">
        <w:rPr>
          <w:rFonts w:ascii="Times New Roman" w:hAnsi="Times New Roman" w:cs="Times New Roman"/>
          <w:sz w:val="24"/>
          <w:szCs w:val="24"/>
        </w:rPr>
        <w:t>he PRGT is projected by the IMF to have a self-sustained lendin</w:t>
      </w:r>
      <w:r w:rsidR="00DC2EAD" w:rsidRPr="00B04A17">
        <w:rPr>
          <w:rFonts w:ascii="Times New Roman" w:hAnsi="Times New Roman" w:cs="Times New Roman"/>
          <w:sz w:val="24"/>
          <w:szCs w:val="24"/>
        </w:rPr>
        <w:t xml:space="preserve">g capacity of </w:t>
      </w:r>
      <w:r w:rsidR="00C72C1C" w:rsidRPr="00B04A17">
        <w:rPr>
          <w:rFonts w:ascii="Times New Roman" w:hAnsi="Times New Roman" w:cs="Times New Roman"/>
          <w:sz w:val="24"/>
          <w:szCs w:val="24"/>
        </w:rPr>
        <w:t xml:space="preserve">only </w:t>
      </w:r>
      <w:r w:rsidR="00DC2EAD" w:rsidRPr="00B04A17">
        <w:rPr>
          <w:rFonts w:ascii="Times New Roman" w:hAnsi="Times New Roman" w:cs="Times New Roman"/>
          <w:sz w:val="24"/>
          <w:szCs w:val="24"/>
        </w:rPr>
        <w:t xml:space="preserve">about SDR 0.7 </w:t>
      </w:r>
      <w:r w:rsidR="00E225DF" w:rsidRPr="00B04A17">
        <w:rPr>
          <w:rFonts w:ascii="Times New Roman" w:hAnsi="Times New Roman" w:cs="Times New Roman"/>
          <w:sz w:val="24"/>
          <w:szCs w:val="24"/>
        </w:rPr>
        <w:t>billion annually after 2014, given the existing level of round SDR 4 billion in the PRGT account. This would be approximately 50-70 per cent lower than 2009-2014 estimated average lending, and well below pre-crisis lending, which would be clearly insufficient</w:t>
      </w:r>
      <w:r w:rsidR="00823DD4">
        <w:rPr>
          <w:rFonts w:ascii="Times New Roman" w:hAnsi="Times New Roman" w:cs="Times New Roman"/>
          <w:sz w:val="24"/>
          <w:szCs w:val="24"/>
        </w:rPr>
        <w:t xml:space="preserve"> to address needs.</w:t>
      </w:r>
      <w:r w:rsidR="006F226E" w:rsidRPr="00823DD4">
        <w:rPr>
          <w:rFonts w:ascii="Times New Roman" w:hAnsi="Times New Roman" w:cs="Times New Roman"/>
          <w:sz w:val="24"/>
          <w:szCs w:val="24"/>
        </w:rPr>
        <w:t xml:space="preserve"> </w:t>
      </w:r>
      <w:r w:rsidR="00E225DF" w:rsidRPr="00823DD4">
        <w:rPr>
          <w:rFonts w:ascii="Times New Roman" w:hAnsi="Times New Roman" w:cs="Times New Roman"/>
          <w:sz w:val="24"/>
          <w:szCs w:val="24"/>
        </w:rPr>
        <w:t>Furthermore,</w:t>
      </w:r>
      <w:r w:rsidR="00DC2EAD" w:rsidRPr="00823DD4">
        <w:rPr>
          <w:rFonts w:ascii="Times New Roman" w:hAnsi="Times New Roman" w:cs="Times New Roman"/>
          <w:sz w:val="24"/>
          <w:szCs w:val="24"/>
        </w:rPr>
        <w:t xml:space="preserve"> </w:t>
      </w:r>
      <w:r w:rsidR="00E225DF" w:rsidRPr="00823DD4">
        <w:rPr>
          <w:rFonts w:ascii="Times New Roman" w:hAnsi="Times New Roman" w:cs="Times New Roman"/>
          <w:sz w:val="24"/>
          <w:szCs w:val="24"/>
        </w:rPr>
        <w:t>these projection</w:t>
      </w:r>
      <w:r w:rsidR="001E7399" w:rsidRPr="00823DD4">
        <w:rPr>
          <w:rFonts w:ascii="Times New Roman" w:hAnsi="Times New Roman" w:cs="Times New Roman"/>
          <w:sz w:val="24"/>
          <w:szCs w:val="24"/>
        </w:rPr>
        <w:t xml:space="preserve">s are subject to </w:t>
      </w:r>
      <w:r w:rsidR="007F397C" w:rsidRPr="00823DD4">
        <w:rPr>
          <w:rFonts w:ascii="Times New Roman" w:hAnsi="Times New Roman" w:cs="Times New Roman"/>
          <w:sz w:val="24"/>
          <w:szCs w:val="24"/>
        </w:rPr>
        <w:t xml:space="preserve"> </w:t>
      </w:r>
      <w:r w:rsidR="00E225DF" w:rsidRPr="00823DD4">
        <w:rPr>
          <w:rFonts w:ascii="Times New Roman" w:hAnsi="Times New Roman" w:cs="Times New Roman"/>
          <w:sz w:val="24"/>
          <w:szCs w:val="24"/>
        </w:rPr>
        <w:t xml:space="preserve"> uncertainties, including: the rate of return on investment of the Reserve Account balance, which is assumed to return to pre-crisis levels; should this be lower, that is if interest rates in major countries did not return to pre-crisis levels, available resources would be lower still.</w:t>
      </w:r>
    </w:p>
    <w:p w:rsidR="00E225DF" w:rsidRPr="00E12CEA" w:rsidRDefault="00E225DF" w:rsidP="006005F5">
      <w:pPr>
        <w:spacing w:after="0" w:line="240" w:lineRule="auto"/>
        <w:ind w:right="-45"/>
        <w:jc w:val="both"/>
        <w:rPr>
          <w:rFonts w:ascii="Times New Roman" w:hAnsi="Times New Roman" w:cs="Times New Roman"/>
          <w:sz w:val="24"/>
          <w:szCs w:val="24"/>
        </w:rPr>
      </w:pPr>
    </w:p>
    <w:p w:rsidR="00E225DF" w:rsidRPr="00E12CEA" w:rsidRDefault="00C57678" w:rsidP="006005F5">
      <w:pPr>
        <w:tabs>
          <w:tab w:val="left" w:pos="567"/>
        </w:tabs>
        <w:spacing w:after="0" w:line="240" w:lineRule="auto"/>
        <w:ind w:right="-45"/>
        <w:jc w:val="both"/>
        <w:rPr>
          <w:rFonts w:ascii="Times New Roman" w:hAnsi="Times New Roman" w:cs="Times New Roman"/>
          <w:sz w:val="24"/>
          <w:szCs w:val="24"/>
        </w:rPr>
      </w:pPr>
      <w:r w:rsidRPr="00B04A17">
        <w:rPr>
          <w:rFonts w:ascii="Times New Roman" w:hAnsi="Times New Roman" w:cs="Times New Roman"/>
          <w:sz w:val="24"/>
          <w:szCs w:val="24"/>
        </w:rPr>
        <w:t>60</w:t>
      </w:r>
      <w:r w:rsidR="006F226E" w:rsidRPr="00B04A17">
        <w:rPr>
          <w:rFonts w:ascii="Times New Roman" w:hAnsi="Times New Roman" w:cs="Times New Roman"/>
          <w:sz w:val="24"/>
          <w:szCs w:val="24"/>
        </w:rPr>
        <w:t>.</w:t>
      </w:r>
      <w:r w:rsidR="006F226E" w:rsidRPr="00E12CEA">
        <w:rPr>
          <w:rFonts w:ascii="Times New Roman" w:hAnsi="Times New Roman" w:cs="Times New Roman"/>
          <w:b/>
          <w:sz w:val="24"/>
          <w:szCs w:val="24"/>
        </w:rPr>
        <w:tab/>
      </w:r>
      <w:r w:rsidR="00E225DF" w:rsidRPr="00E12CEA">
        <w:rPr>
          <w:rFonts w:ascii="Times New Roman" w:hAnsi="Times New Roman" w:cs="Times New Roman"/>
          <w:b/>
          <w:sz w:val="24"/>
          <w:szCs w:val="24"/>
        </w:rPr>
        <w:t>Clearly, based also on the IMF staff’s longer-term projections, additional subsidy resources</w:t>
      </w:r>
      <w:r w:rsidR="002952D1" w:rsidRPr="00E12CEA">
        <w:rPr>
          <w:rFonts w:ascii="Times New Roman" w:hAnsi="Times New Roman" w:cs="Times New Roman"/>
          <w:b/>
          <w:sz w:val="24"/>
          <w:szCs w:val="24"/>
        </w:rPr>
        <w:t xml:space="preserve"> will be required to support </w:t>
      </w:r>
      <w:r w:rsidR="00E225DF" w:rsidRPr="00E12CEA">
        <w:rPr>
          <w:rFonts w:ascii="Times New Roman" w:hAnsi="Times New Roman" w:cs="Times New Roman"/>
          <w:b/>
          <w:sz w:val="24"/>
          <w:szCs w:val="24"/>
        </w:rPr>
        <w:t>expected demand for conc</w:t>
      </w:r>
      <w:r w:rsidR="000056CD" w:rsidRPr="00E12CEA">
        <w:rPr>
          <w:rFonts w:ascii="Times New Roman" w:hAnsi="Times New Roman" w:cs="Times New Roman"/>
          <w:b/>
          <w:sz w:val="24"/>
          <w:szCs w:val="24"/>
        </w:rPr>
        <w:t xml:space="preserve">essional financing. </w:t>
      </w:r>
      <w:r w:rsidR="000056CD" w:rsidRPr="005F6851">
        <w:rPr>
          <w:rFonts w:ascii="Times New Roman" w:hAnsi="Times New Roman" w:cs="Times New Roman"/>
          <w:sz w:val="24"/>
          <w:szCs w:val="24"/>
        </w:rPr>
        <w:t>Indeed IMF s</w:t>
      </w:r>
      <w:r w:rsidR="00E225DF" w:rsidRPr="005F6851">
        <w:rPr>
          <w:rFonts w:ascii="Times New Roman" w:hAnsi="Times New Roman" w:cs="Times New Roman"/>
          <w:sz w:val="24"/>
          <w:szCs w:val="24"/>
        </w:rPr>
        <w:t>taff project</w:t>
      </w:r>
      <w:r w:rsidR="002952D1" w:rsidRPr="005F6851">
        <w:rPr>
          <w:rFonts w:ascii="Times New Roman" w:hAnsi="Times New Roman" w:cs="Times New Roman"/>
          <w:sz w:val="24"/>
          <w:szCs w:val="24"/>
        </w:rPr>
        <w:t>ions indicate</w:t>
      </w:r>
      <w:r w:rsidR="00E225DF" w:rsidRPr="005F6851">
        <w:rPr>
          <w:rFonts w:ascii="Times New Roman" w:hAnsi="Times New Roman" w:cs="Times New Roman"/>
          <w:sz w:val="24"/>
          <w:szCs w:val="24"/>
        </w:rPr>
        <w:t xml:space="preserve"> longer term demand for the Fund’s concessional lending could be SDR 1.1–1.9 billion annually up to 2</w:t>
      </w:r>
      <w:r w:rsidR="002952D1" w:rsidRPr="005F6851">
        <w:rPr>
          <w:rFonts w:ascii="Times New Roman" w:hAnsi="Times New Roman" w:cs="Times New Roman"/>
          <w:sz w:val="24"/>
          <w:szCs w:val="24"/>
        </w:rPr>
        <w:t xml:space="preserve">034, </w:t>
      </w:r>
      <w:r w:rsidR="0047177B" w:rsidRPr="005F6851">
        <w:rPr>
          <w:rFonts w:ascii="Times New Roman" w:hAnsi="Times New Roman" w:cs="Times New Roman"/>
          <w:sz w:val="24"/>
          <w:szCs w:val="24"/>
        </w:rPr>
        <w:t>(IMF,</w:t>
      </w:r>
      <w:r w:rsidR="006E2189" w:rsidRPr="005F6851">
        <w:rPr>
          <w:rFonts w:ascii="Times New Roman" w:hAnsi="Times New Roman" w:cs="Times New Roman"/>
          <w:sz w:val="24"/>
          <w:szCs w:val="24"/>
        </w:rPr>
        <w:t xml:space="preserve"> </w:t>
      </w:r>
      <w:r w:rsidR="0047177B" w:rsidRPr="005F6851">
        <w:rPr>
          <w:rFonts w:ascii="Times New Roman" w:hAnsi="Times New Roman" w:cs="Times New Roman"/>
          <w:sz w:val="24"/>
          <w:szCs w:val="24"/>
        </w:rPr>
        <w:t xml:space="preserve">2012, op cit), </w:t>
      </w:r>
      <w:r w:rsidR="002952D1" w:rsidRPr="005F6851">
        <w:rPr>
          <w:rFonts w:ascii="Times New Roman" w:hAnsi="Times New Roman" w:cs="Times New Roman"/>
          <w:sz w:val="24"/>
          <w:szCs w:val="24"/>
        </w:rPr>
        <w:t xml:space="preserve">with SDR 1.1 billion </w:t>
      </w:r>
      <w:r w:rsidR="00E225DF" w:rsidRPr="005F6851">
        <w:rPr>
          <w:rFonts w:ascii="Times New Roman" w:hAnsi="Times New Roman" w:cs="Times New Roman"/>
          <w:sz w:val="24"/>
          <w:szCs w:val="24"/>
        </w:rPr>
        <w:t xml:space="preserve">roughly comparable to pre-crisis levels of lending. Naturally if there </w:t>
      </w:r>
      <w:r w:rsidR="00C72C1C" w:rsidRPr="005F6851">
        <w:rPr>
          <w:rFonts w:ascii="Times New Roman" w:hAnsi="Times New Roman" w:cs="Times New Roman"/>
          <w:sz w:val="24"/>
          <w:szCs w:val="24"/>
        </w:rPr>
        <w:t xml:space="preserve">were to be a new </w:t>
      </w:r>
      <w:r w:rsidR="00C560FF" w:rsidRPr="005F6851">
        <w:rPr>
          <w:rFonts w:ascii="Times New Roman" w:hAnsi="Times New Roman" w:cs="Times New Roman"/>
          <w:sz w:val="24"/>
          <w:szCs w:val="24"/>
        </w:rPr>
        <w:t>crisis</w:t>
      </w:r>
      <w:r w:rsidR="00E225DF" w:rsidRPr="005F6851">
        <w:rPr>
          <w:rFonts w:ascii="Times New Roman" w:hAnsi="Times New Roman" w:cs="Times New Roman"/>
          <w:sz w:val="24"/>
          <w:szCs w:val="24"/>
        </w:rPr>
        <w:t xml:space="preserve"> or the world economy were to enter a period of far slower growth, as many obs</w:t>
      </w:r>
      <w:r w:rsidR="0013257D" w:rsidRPr="005F6851">
        <w:rPr>
          <w:rFonts w:ascii="Times New Roman" w:hAnsi="Times New Roman" w:cs="Times New Roman"/>
          <w:sz w:val="24"/>
          <w:szCs w:val="24"/>
        </w:rPr>
        <w:t>ervers-including the IMF</w:t>
      </w:r>
      <w:r w:rsidR="00C72C1C" w:rsidRPr="005F6851">
        <w:rPr>
          <w:rFonts w:ascii="Times New Roman" w:hAnsi="Times New Roman" w:cs="Times New Roman"/>
          <w:sz w:val="24"/>
          <w:szCs w:val="24"/>
        </w:rPr>
        <w:t>-</w:t>
      </w:r>
      <w:r w:rsidR="0013257D" w:rsidRPr="005F6851">
        <w:rPr>
          <w:rFonts w:ascii="Times New Roman" w:hAnsi="Times New Roman" w:cs="Times New Roman"/>
          <w:sz w:val="24"/>
          <w:szCs w:val="24"/>
        </w:rPr>
        <w:t xml:space="preserve"> fear </w:t>
      </w:r>
      <w:r w:rsidR="00C72C1C" w:rsidRPr="005F6851">
        <w:rPr>
          <w:rFonts w:ascii="Times New Roman" w:hAnsi="Times New Roman" w:cs="Times New Roman"/>
          <w:sz w:val="24"/>
          <w:szCs w:val="24"/>
        </w:rPr>
        <w:t xml:space="preserve">possible, </w:t>
      </w:r>
      <w:r w:rsidR="00E225DF" w:rsidRPr="005F6851">
        <w:rPr>
          <w:rFonts w:ascii="Times New Roman" w:hAnsi="Times New Roman" w:cs="Times New Roman"/>
          <w:sz w:val="24"/>
          <w:szCs w:val="24"/>
        </w:rPr>
        <w:t>then annual demand for IMF loans to LICs could increase to levels of at least SDR 1.9 billion and possibly more</w:t>
      </w:r>
      <w:r w:rsidR="00E225DF" w:rsidRPr="00067326">
        <w:rPr>
          <w:rFonts w:ascii="Times New Roman" w:hAnsi="Times New Roman" w:cs="Times New Roman"/>
          <w:sz w:val="24"/>
          <w:szCs w:val="24"/>
        </w:rPr>
        <w:t>.</w:t>
      </w:r>
      <w:r w:rsidR="00E225DF" w:rsidRPr="00E12CEA">
        <w:rPr>
          <w:rFonts w:ascii="Times New Roman" w:hAnsi="Times New Roman" w:cs="Times New Roman"/>
          <w:sz w:val="24"/>
          <w:szCs w:val="24"/>
        </w:rPr>
        <w:t xml:space="preserve"> </w:t>
      </w:r>
      <w:r w:rsidR="0013257D" w:rsidRPr="00E12CEA">
        <w:rPr>
          <w:rFonts w:ascii="Times New Roman" w:hAnsi="Times New Roman" w:cs="Times New Roman"/>
          <w:sz w:val="24"/>
          <w:szCs w:val="24"/>
        </w:rPr>
        <w:t xml:space="preserve"> Furthermore, there is growing </w:t>
      </w:r>
      <w:r w:rsidR="00E225DF" w:rsidRPr="00E12CEA">
        <w:rPr>
          <w:rFonts w:ascii="Times New Roman" w:hAnsi="Times New Roman" w:cs="Times New Roman"/>
          <w:sz w:val="24"/>
          <w:szCs w:val="24"/>
        </w:rPr>
        <w:t>empirical evidence and agreement</w:t>
      </w:r>
      <w:r w:rsidR="000056CD" w:rsidRPr="00E12CEA">
        <w:rPr>
          <w:rFonts w:ascii="Times New Roman" w:hAnsi="Times New Roman" w:cs="Times New Roman"/>
          <w:sz w:val="24"/>
          <w:szCs w:val="24"/>
        </w:rPr>
        <w:t xml:space="preserve"> </w:t>
      </w:r>
      <w:r w:rsidR="00276D05" w:rsidRPr="00E12CEA">
        <w:rPr>
          <w:rFonts w:ascii="Times New Roman" w:hAnsi="Times New Roman" w:cs="Times New Roman"/>
          <w:sz w:val="24"/>
          <w:szCs w:val="24"/>
        </w:rPr>
        <w:t xml:space="preserve">that greater </w:t>
      </w:r>
      <w:r w:rsidR="00C72C1C" w:rsidRPr="00E12CEA">
        <w:rPr>
          <w:rFonts w:ascii="Times New Roman" w:hAnsi="Times New Roman" w:cs="Times New Roman"/>
          <w:sz w:val="24"/>
          <w:szCs w:val="24"/>
        </w:rPr>
        <w:t xml:space="preserve">liquidity funding by the IMF </w:t>
      </w:r>
      <w:r w:rsidR="00E225DF" w:rsidRPr="00E12CEA">
        <w:rPr>
          <w:rFonts w:ascii="Times New Roman" w:hAnsi="Times New Roman" w:cs="Times New Roman"/>
          <w:sz w:val="24"/>
          <w:szCs w:val="24"/>
        </w:rPr>
        <w:t xml:space="preserve">to </w:t>
      </w:r>
      <w:r w:rsidR="0047177B" w:rsidRPr="00E12CEA">
        <w:rPr>
          <w:rFonts w:ascii="Times New Roman" w:hAnsi="Times New Roman" w:cs="Times New Roman"/>
          <w:sz w:val="24"/>
          <w:szCs w:val="24"/>
        </w:rPr>
        <w:t xml:space="preserve">compensate for external shocks </w:t>
      </w:r>
      <w:r w:rsidR="00E225DF" w:rsidRPr="00E12CEA">
        <w:rPr>
          <w:rFonts w:ascii="Times New Roman" w:hAnsi="Times New Roman" w:cs="Times New Roman"/>
          <w:sz w:val="24"/>
          <w:szCs w:val="24"/>
        </w:rPr>
        <w:t>can meaningfully co</w:t>
      </w:r>
      <w:r w:rsidR="002952D1" w:rsidRPr="00E12CEA">
        <w:rPr>
          <w:rFonts w:ascii="Times New Roman" w:hAnsi="Times New Roman" w:cs="Times New Roman"/>
          <w:sz w:val="24"/>
          <w:szCs w:val="24"/>
        </w:rPr>
        <w:t xml:space="preserve">ntribute to higher LIC growth. </w:t>
      </w:r>
      <w:r w:rsidR="00E225DF" w:rsidRPr="00E12CEA">
        <w:rPr>
          <w:rFonts w:ascii="Times New Roman" w:hAnsi="Times New Roman" w:cs="Times New Roman"/>
          <w:sz w:val="24"/>
          <w:szCs w:val="24"/>
        </w:rPr>
        <w:t>(Te Velde, Griff</w:t>
      </w:r>
      <w:r w:rsidR="002952D1" w:rsidRPr="00E12CEA">
        <w:rPr>
          <w:rFonts w:ascii="Times New Roman" w:hAnsi="Times New Roman" w:cs="Times New Roman"/>
          <w:sz w:val="24"/>
          <w:szCs w:val="24"/>
        </w:rPr>
        <w:t>ith-Jones et al, 2011). T</w:t>
      </w:r>
      <w:r w:rsidR="00C72C1C" w:rsidRPr="00E12CEA">
        <w:rPr>
          <w:rFonts w:ascii="Times New Roman" w:hAnsi="Times New Roman" w:cs="Times New Roman"/>
          <w:sz w:val="24"/>
          <w:szCs w:val="24"/>
        </w:rPr>
        <w:t>here is an important case that,</w:t>
      </w:r>
      <w:r w:rsidR="0047177B" w:rsidRPr="00E12CEA">
        <w:rPr>
          <w:rFonts w:ascii="Times New Roman" w:hAnsi="Times New Roman" w:cs="Times New Roman"/>
          <w:sz w:val="24"/>
          <w:szCs w:val="24"/>
        </w:rPr>
        <w:t xml:space="preserve"> if </w:t>
      </w:r>
      <w:r w:rsidR="00E225DF" w:rsidRPr="00E12CEA">
        <w:rPr>
          <w:rFonts w:ascii="Times New Roman" w:hAnsi="Times New Roman" w:cs="Times New Roman"/>
          <w:sz w:val="24"/>
          <w:szCs w:val="24"/>
        </w:rPr>
        <w:t>external shocks</w:t>
      </w:r>
      <w:r w:rsidR="000056CD" w:rsidRPr="00E12CEA">
        <w:rPr>
          <w:rFonts w:ascii="Times New Roman" w:hAnsi="Times New Roman" w:cs="Times New Roman"/>
          <w:sz w:val="24"/>
          <w:szCs w:val="24"/>
        </w:rPr>
        <w:t xml:space="preserve"> happen</w:t>
      </w:r>
      <w:r w:rsidR="00E225DF" w:rsidRPr="00E12CEA">
        <w:rPr>
          <w:rFonts w:ascii="Times New Roman" w:hAnsi="Times New Roman" w:cs="Times New Roman"/>
          <w:sz w:val="24"/>
          <w:szCs w:val="24"/>
        </w:rPr>
        <w:t>, LICs need both sufficient liquidity and development finance, with speedy provision of sufficient liquidity particularly essential for safeguarding growth.</w:t>
      </w:r>
    </w:p>
    <w:p w:rsidR="002952D1" w:rsidRPr="00E12CEA" w:rsidRDefault="002952D1" w:rsidP="006005F5">
      <w:pPr>
        <w:spacing w:after="0" w:line="240" w:lineRule="auto"/>
        <w:ind w:right="-45"/>
        <w:jc w:val="both"/>
        <w:rPr>
          <w:rFonts w:ascii="Times New Roman" w:hAnsi="Times New Roman" w:cs="Times New Roman"/>
          <w:sz w:val="24"/>
          <w:szCs w:val="24"/>
        </w:rPr>
      </w:pPr>
    </w:p>
    <w:p w:rsidR="00E225DF" w:rsidRPr="00E12CEA"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61</w:t>
      </w:r>
      <w:r w:rsidR="006F226E" w:rsidRPr="00E12CEA">
        <w:rPr>
          <w:rFonts w:ascii="Times New Roman" w:hAnsi="Times New Roman" w:cs="Times New Roman"/>
          <w:sz w:val="24"/>
          <w:szCs w:val="24"/>
        </w:rPr>
        <w:t>.</w:t>
      </w:r>
      <w:r w:rsidR="006F226E" w:rsidRPr="00E12CEA">
        <w:rPr>
          <w:rFonts w:ascii="Times New Roman" w:hAnsi="Times New Roman" w:cs="Times New Roman"/>
          <w:sz w:val="24"/>
          <w:szCs w:val="24"/>
        </w:rPr>
        <w:tab/>
      </w:r>
      <w:r w:rsidR="00E225DF" w:rsidRPr="005F6851">
        <w:rPr>
          <w:rFonts w:ascii="Times New Roman" w:hAnsi="Times New Roman" w:cs="Times New Roman"/>
          <w:b/>
          <w:sz w:val="24"/>
          <w:szCs w:val="24"/>
        </w:rPr>
        <w:t>Based on these projections and analysis, additional subsidy resources would urgently need to be mobili</w:t>
      </w:r>
      <w:r w:rsidR="00773CC0">
        <w:rPr>
          <w:rFonts w:ascii="Times New Roman" w:hAnsi="Times New Roman" w:cs="Times New Roman"/>
          <w:b/>
          <w:sz w:val="24"/>
          <w:szCs w:val="24"/>
        </w:rPr>
        <w:t>s</w:t>
      </w:r>
      <w:r w:rsidR="00E225DF" w:rsidRPr="005F6851">
        <w:rPr>
          <w:rFonts w:ascii="Times New Roman" w:hAnsi="Times New Roman" w:cs="Times New Roman"/>
          <w:b/>
          <w:sz w:val="24"/>
          <w:szCs w:val="24"/>
        </w:rPr>
        <w:t>ed to ensure that the PRGT has sufficient capacity to meet the expected demand.</w:t>
      </w:r>
      <w:r w:rsidR="00E225DF" w:rsidRPr="00E12CEA">
        <w:rPr>
          <w:rFonts w:ascii="Times New Roman" w:hAnsi="Times New Roman" w:cs="Times New Roman"/>
          <w:sz w:val="24"/>
          <w:szCs w:val="24"/>
        </w:rPr>
        <w:t xml:space="preserve"> It is therefore crucial that the framework for concessional lending on a self-sustained basis should therefore be revisited to ensure that the lending capacity remains in line with projected </w:t>
      </w:r>
      <w:r w:rsidR="0047177B" w:rsidRPr="00E12CEA">
        <w:rPr>
          <w:rFonts w:ascii="Times New Roman" w:hAnsi="Times New Roman" w:cs="Times New Roman"/>
          <w:sz w:val="24"/>
          <w:szCs w:val="24"/>
        </w:rPr>
        <w:t xml:space="preserve">potential demand. </w:t>
      </w:r>
    </w:p>
    <w:p w:rsidR="00E225DF" w:rsidRPr="00E12CEA" w:rsidRDefault="00E225DF" w:rsidP="006005F5">
      <w:pPr>
        <w:spacing w:after="0" w:line="240" w:lineRule="auto"/>
        <w:ind w:right="-45"/>
        <w:jc w:val="both"/>
        <w:rPr>
          <w:rFonts w:ascii="Times New Roman" w:hAnsi="Times New Roman" w:cs="Times New Roman"/>
          <w:sz w:val="24"/>
          <w:szCs w:val="24"/>
        </w:rPr>
      </w:pPr>
    </w:p>
    <w:p w:rsidR="00823DD4"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6</w:t>
      </w:r>
      <w:r w:rsidR="006F226E" w:rsidRPr="00E12CEA">
        <w:rPr>
          <w:rFonts w:ascii="Times New Roman" w:hAnsi="Times New Roman" w:cs="Times New Roman"/>
          <w:sz w:val="24"/>
          <w:szCs w:val="24"/>
        </w:rPr>
        <w:t>2.</w:t>
      </w:r>
      <w:r w:rsidR="006F226E" w:rsidRPr="00E12CEA">
        <w:rPr>
          <w:rFonts w:ascii="Times New Roman" w:hAnsi="Times New Roman" w:cs="Times New Roman"/>
          <w:sz w:val="24"/>
          <w:szCs w:val="24"/>
        </w:rPr>
        <w:tab/>
      </w:r>
      <w:r w:rsidR="00067326" w:rsidRPr="00E12CEA">
        <w:rPr>
          <w:rFonts w:ascii="Times New Roman" w:hAnsi="Times New Roman" w:cs="Times New Roman"/>
          <w:sz w:val="24"/>
          <w:szCs w:val="24"/>
        </w:rPr>
        <w:t>An important issue at present is if the</w:t>
      </w:r>
      <w:r w:rsidR="004F5B57">
        <w:rPr>
          <w:rFonts w:ascii="Times New Roman" w:hAnsi="Times New Roman" w:cs="Times New Roman"/>
          <w:sz w:val="24"/>
          <w:szCs w:val="24"/>
        </w:rPr>
        <w:t xml:space="preserve"> </w:t>
      </w:r>
      <w:r w:rsidR="00067326">
        <w:rPr>
          <w:rFonts w:ascii="Times New Roman" w:hAnsi="Times New Roman" w:cs="Times New Roman"/>
          <w:sz w:val="24"/>
          <w:szCs w:val="24"/>
        </w:rPr>
        <w:t xml:space="preserve">approximately </w:t>
      </w:r>
      <w:r w:rsidR="00067326" w:rsidRPr="00E12CEA">
        <w:rPr>
          <w:rFonts w:ascii="Times New Roman" w:hAnsi="Times New Roman" w:cs="Times New Roman"/>
          <w:sz w:val="24"/>
          <w:szCs w:val="24"/>
        </w:rPr>
        <w:t>SDR 1.8 billion of remaining windfall profits reali</w:t>
      </w:r>
      <w:r w:rsidR="00863875">
        <w:rPr>
          <w:rFonts w:ascii="Times New Roman" w:hAnsi="Times New Roman" w:cs="Times New Roman"/>
          <w:sz w:val="24"/>
          <w:szCs w:val="24"/>
        </w:rPr>
        <w:t>s</w:t>
      </w:r>
      <w:r w:rsidR="00067326" w:rsidRPr="00E12CEA">
        <w:rPr>
          <w:rFonts w:ascii="Times New Roman" w:hAnsi="Times New Roman" w:cs="Times New Roman"/>
          <w:sz w:val="24"/>
          <w:szCs w:val="24"/>
        </w:rPr>
        <w:t xml:space="preserve">ed during the gold sales could be used for financing the PRGT to achieve these desirable levels of self-sustained concessional lending to LICs. </w:t>
      </w:r>
      <w:r w:rsidR="00E225DF" w:rsidRPr="00E12CEA">
        <w:rPr>
          <w:rFonts w:ascii="Times New Roman" w:hAnsi="Times New Roman" w:cs="Times New Roman"/>
          <w:sz w:val="24"/>
          <w:szCs w:val="24"/>
        </w:rPr>
        <w:t>This would formally require approval by 70</w:t>
      </w:r>
      <w:r w:rsidR="00F93037">
        <w:rPr>
          <w:rFonts w:ascii="Times New Roman" w:hAnsi="Times New Roman" w:cs="Times New Roman"/>
          <w:sz w:val="24"/>
          <w:szCs w:val="24"/>
        </w:rPr>
        <w:t xml:space="preserve"> per cent</w:t>
      </w:r>
      <w:r w:rsidR="00F93037" w:rsidRPr="00E12CEA">
        <w:rPr>
          <w:rFonts w:ascii="Times New Roman" w:hAnsi="Times New Roman" w:cs="Times New Roman"/>
          <w:sz w:val="24"/>
          <w:szCs w:val="24"/>
        </w:rPr>
        <w:t xml:space="preserve"> </w:t>
      </w:r>
      <w:r w:rsidR="00E225DF" w:rsidRPr="00E12CEA">
        <w:rPr>
          <w:rFonts w:ascii="Times New Roman" w:hAnsi="Times New Roman" w:cs="Times New Roman"/>
          <w:sz w:val="24"/>
          <w:szCs w:val="24"/>
        </w:rPr>
        <w:t>of the votes of the IMF Executive Board of the IMF, which is not easy to achieve; furthermore, IMF staff point out that a 90</w:t>
      </w:r>
      <w:r w:rsidR="00F93037">
        <w:rPr>
          <w:rFonts w:ascii="Times New Roman" w:hAnsi="Times New Roman" w:cs="Times New Roman"/>
          <w:sz w:val="24"/>
          <w:szCs w:val="24"/>
        </w:rPr>
        <w:t xml:space="preserve"> per cent</w:t>
      </w:r>
      <w:r w:rsidR="00E225DF" w:rsidRPr="00E12CEA">
        <w:rPr>
          <w:rFonts w:ascii="Times New Roman" w:hAnsi="Times New Roman" w:cs="Times New Roman"/>
          <w:sz w:val="24"/>
          <w:szCs w:val="24"/>
        </w:rPr>
        <w:t xml:space="preserve"> of approval by the Board is desirable, to ensure that</w:t>
      </w:r>
      <w:r w:rsidR="009C36E8">
        <w:rPr>
          <w:rFonts w:ascii="Times New Roman" w:hAnsi="Times New Roman" w:cs="Times New Roman"/>
          <w:sz w:val="24"/>
          <w:szCs w:val="24"/>
        </w:rPr>
        <w:t xml:space="preserve"> </w:t>
      </w:r>
      <w:r w:rsidR="00E225DF" w:rsidRPr="00E12CEA">
        <w:rPr>
          <w:rFonts w:ascii="Times New Roman" w:hAnsi="Times New Roman" w:cs="Times New Roman"/>
          <w:sz w:val="24"/>
          <w:szCs w:val="24"/>
        </w:rPr>
        <w:t>once the windfall profits are given to member countries they commit to tran</w:t>
      </w:r>
      <w:r w:rsidR="00276D05" w:rsidRPr="00E12CEA">
        <w:rPr>
          <w:rFonts w:ascii="Times New Roman" w:hAnsi="Times New Roman" w:cs="Times New Roman"/>
          <w:sz w:val="24"/>
          <w:szCs w:val="24"/>
        </w:rPr>
        <w:t xml:space="preserve">sferring them to the PRGT for </w:t>
      </w:r>
      <w:r w:rsidR="00E225DF" w:rsidRPr="00E12CEA">
        <w:rPr>
          <w:rFonts w:ascii="Times New Roman" w:hAnsi="Times New Roman" w:cs="Times New Roman"/>
          <w:sz w:val="24"/>
          <w:szCs w:val="24"/>
        </w:rPr>
        <w:t>lending subsidies to LICs. Here there can be a typical collecti</w:t>
      </w:r>
      <w:r w:rsidR="00067326">
        <w:rPr>
          <w:rFonts w:ascii="Times New Roman" w:hAnsi="Times New Roman" w:cs="Times New Roman"/>
          <w:sz w:val="24"/>
          <w:szCs w:val="24"/>
        </w:rPr>
        <w:t>ve</w:t>
      </w:r>
      <w:r w:rsidR="00E225DF" w:rsidRPr="00E12CEA">
        <w:rPr>
          <w:rFonts w:ascii="Times New Roman" w:hAnsi="Times New Roman" w:cs="Times New Roman"/>
          <w:sz w:val="24"/>
          <w:szCs w:val="24"/>
        </w:rPr>
        <w:t xml:space="preserve"> action problem, in that countries become more willing to transfer such a contribution, once they know all other countries are committing to do the same. Furthermore, an additional complication is that some member countries may have possible preferences for other uses, such as strengthening the F</w:t>
      </w:r>
      <w:r w:rsidR="00276D05" w:rsidRPr="00E12CEA">
        <w:rPr>
          <w:rFonts w:ascii="Times New Roman" w:hAnsi="Times New Roman" w:cs="Times New Roman"/>
          <w:sz w:val="24"/>
          <w:szCs w:val="24"/>
        </w:rPr>
        <w:t>und’s precautionary balances, (</w:t>
      </w:r>
      <w:r w:rsidR="00E225DF" w:rsidRPr="00E12CEA">
        <w:rPr>
          <w:rFonts w:ascii="Times New Roman" w:hAnsi="Times New Roman" w:cs="Times New Roman"/>
          <w:sz w:val="24"/>
          <w:szCs w:val="24"/>
        </w:rPr>
        <w:t xml:space="preserve">currently below their </w:t>
      </w:r>
      <w:r w:rsidR="00276D05" w:rsidRPr="00E12CEA">
        <w:rPr>
          <w:rFonts w:ascii="Times New Roman" w:hAnsi="Times New Roman" w:cs="Times New Roman"/>
          <w:sz w:val="24"/>
          <w:szCs w:val="24"/>
        </w:rPr>
        <w:t xml:space="preserve">targeted level) or for funding </w:t>
      </w:r>
      <w:r w:rsidR="00E225DF" w:rsidRPr="00E12CEA">
        <w:rPr>
          <w:rFonts w:ascii="Times New Roman" w:hAnsi="Times New Roman" w:cs="Times New Roman"/>
          <w:sz w:val="24"/>
          <w:szCs w:val="24"/>
        </w:rPr>
        <w:t xml:space="preserve">endowment resources, to finance IMF activities. </w:t>
      </w:r>
    </w:p>
    <w:p w:rsidR="00823DD4" w:rsidRDefault="00823DD4" w:rsidP="006005F5">
      <w:pPr>
        <w:spacing w:after="0" w:line="240" w:lineRule="auto"/>
        <w:ind w:right="-45"/>
        <w:jc w:val="both"/>
        <w:rPr>
          <w:rFonts w:ascii="Times New Roman" w:hAnsi="Times New Roman" w:cs="Times New Roman"/>
          <w:sz w:val="24"/>
          <w:szCs w:val="24"/>
        </w:rPr>
      </w:pPr>
    </w:p>
    <w:p w:rsidR="00DA0B95" w:rsidRPr="00B04A17" w:rsidRDefault="00C57678" w:rsidP="006005F5">
      <w:pPr>
        <w:tabs>
          <w:tab w:val="left" w:pos="567"/>
        </w:tabs>
        <w:spacing w:after="0" w:line="240" w:lineRule="auto"/>
        <w:ind w:right="-45"/>
        <w:jc w:val="both"/>
        <w:rPr>
          <w:rFonts w:ascii="Times New Roman" w:hAnsi="Times New Roman" w:cs="Times New Roman"/>
          <w:sz w:val="24"/>
          <w:szCs w:val="24"/>
        </w:rPr>
      </w:pPr>
      <w:r>
        <w:rPr>
          <w:rFonts w:ascii="Times New Roman" w:hAnsi="Times New Roman" w:cs="Times New Roman"/>
          <w:sz w:val="24"/>
          <w:szCs w:val="24"/>
        </w:rPr>
        <w:t>6</w:t>
      </w:r>
      <w:r w:rsidR="00DA0B95">
        <w:rPr>
          <w:rFonts w:ascii="Times New Roman" w:hAnsi="Times New Roman" w:cs="Times New Roman"/>
          <w:sz w:val="24"/>
          <w:szCs w:val="24"/>
        </w:rPr>
        <w:t>3.</w:t>
      </w:r>
      <w:r w:rsidR="00DA0B95">
        <w:rPr>
          <w:rFonts w:ascii="Times New Roman" w:hAnsi="Times New Roman" w:cs="Times New Roman"/>
          <w:sz w:val="24"/>
          <w:szCs w:val="24"/>
        </w:rPr>
        <w:tab/>
      </w:r>
      <w:r w:rsidR="00823DD4">
        <w:rPr>
          <w:rFonts w:ascii="Times New Roman" w:hAnsi="Times New Roman" w:cs="Times New Roman"/>
          <w:sz w:val="24"/>
          <w:szCs w:val="24"/>
        </w:rPr>
        <w:t xml:space="preserve">Based on these considerations, </w:t>
      </w:r>
      <w:r w:rsidR="00DA0B95">
        <w:rPr>
          <w:rFonts w:ascii="Times New Roman" w:hAnsi="Times New Roman" w:cs="Times New Roman"/>
          <w:sz w:val="24"/>
          <w:szCs w:val="24"/>
        </w:rPr>
        <w:t xml:space="preserve">there are powerful arguments to forge a Commonwealth consensus which promotes </w:t>
      </w:r>
      <w:r w:rsidR="00DA0B95" w:rsidRPr="00B04A17">
        <w:rPr>
          <w:rFonts w:ascii="Times New Roman" w:hAnsi="Times New Roman" w:cs="Times New Roman"/>
          <w:b/>
          <w:sz w:val="24"/>
          <w:szCs w:val="24"/>
        </w:rPr>
        <w:t xml:space="preserve">the use of the remaining windfall of </w:t>
      </w:r>
      <w:r w:rsidR="0047177B" w:rsidRPr="00DA0B95">
        <w:rPr>
          <w:rFonts w:ascii="Times New Roman" w:hAnsi="Times New Roman" w:cs="Times New Roman"/>
          <w:b/>
          <w:sz w:val="24"/>
          <w:szCs w:val="24"/>
        </w:rPr>
        <w:t>gold sales</w:t>
      </w:r>
      <w:r w:rsidR="00DA0B95" w:rsidRPr="00DA0B95">
        <w:rPr>
          <w:rFonts w:ascii="Times New Roman" w:hAnsi="Times New Roman" w:cs="Times New Roman"/>
          <w:b/>
          <w:sz w:val="24"/>
          <w:szCs w:val="24"/>
        </w:rPr>
        <w:t xml:space="preserve"> to </w:t>
      </w:r>
      <w:r w:rsidR="00E225DF" w:rsidRPr="00DA0B95">
        <w:rPr>
          <w:rFonts w:ascii="Times New Roman" w:hAnsi="Times New Roman" w:cs="Times New Roman"/>
          <w:b/>
          <w:sz w:val="24"/>
          <w:szCs w:val="24"/>
        </w:rPr>
        <w:t xml:space="preserve">fund the </w:t>
      </w:r>
      <w:r w:rsidR="0047177B" w:rsidRPr="00DA0B95">
        <w:rPr>
          <w:rFonts w:ascii="Times New Roman" w:hAnsi="Times New Roman" w:cs="Times New Roman"/>
          <w:b/>
          <w:sz w:val="24"/>
          <w:szCs w:val="24"/>
        </w:rPr>
        <w:t xml:space="preserve">IMF </w:t>
      </w:r>
      <w:r w:rsidR="00E225DF" w:rsidRPr="00DA0B95">
        <w:rPr>
          <w:rFonts w:ascii="Times New Roman" w:hAnsi="Times New Roman" w:cs="Times New Roman"/>
          <w:b/>
          <w:sz w:val="24"/>
          <w:szCs w:val="24"/>
        </w:rPr>
        <w:t>PRGT subsidy account</w:t>
      </w:r>
      <w:r w:rsidR="00DA0B95">
        <w:rPr>
          <w:rFonts w:ascii="Times New Roman" w:hAnsi="Times New Roman" w:cs="Times New Roman"/>
          <w:b/>
          <w:sz w:val="24"/>
          <w:szCs w:val="24"/>
        </w:rPr>
        <w:t>,</w:t>
      </w:r>
      <w:r w:rsidR="00E225DF" w:rsidRPr="00E12CEA">
        <w:rPr>
          <w:rFonts w:ascii="Times New Roman" w:hAnsi="Times New Roman" w:cs="Times New Roman"/>
          <w:b/>
          <w:sz w:val="24"/>
          <w:szCs w:val="24"/>
        </w:rPr>
        <w:t xml:space="preserve"> </w:t>
      </w:r>
      <w:r w:rsidR="00E225DF" w:rsidRPr="00B04A17">
        <w:rPr>
          <w:rFonts w:ascii="Times New Roman" w:hAnsi="Times New Roman" w:cs="Times New Roman"/>
          <w:sz w:val="24"/>
          <w:szCs w:val="24"/>
        </w:rPr>
        <w:t>given the</w:t>
      </w:r>
      <w:r w:rsidR="00276D05" w:rsidRPr="00B04A17">
        <w:rPr>
          <w:rFonts w:ascii="Times New Roman" w:hAnsi="Times New Roman" w:cs="Times New Roman"/>
          <w:sz w:val="24"/>
          <w:szCs w:val="24"/>
        </w:rPr>
        <w:t xml:space="preserve"> great </w:t>
      </w:r>
      <w:r w:rsidR="00E225DF" w:rsidRPr="00B04A17">
        <w:rPr>
          <w:rFonts w:ascii="Times New Roman" w:hAnsi="Times New Roman" w:cs="Times New Roman"/>
          <w:sz w:val="24"/>
          <w:szCs w:val="24"/>
        </w:rPr>
        <w:t xml:space="preserve">significance it has for LIC countries in general, but especially for their ability to have sufficient </w:t>
      </w:r>
      <w:r w:rsidR="00823DD4" w:rsidRPr="00B04A17">
        <w:rPr>
          <w:rFonts w:ascii="Times New Roman" w:hAnsi="Times New Roman" w:cs="Times New Roman"/>
          <w:sz w:val="24"/>
          <w:szCs w:val="24"/>
        </w:rPr>
        <w:t xml:space="preserve">shock </w:t>
      </w:r>
      <w:r w:rsidR="00E225DF" w:rsidRPr="00B04A17">
        <w:rPr>
          <w:rFonts w:ascii="Times New Roman" w:hAnsi="Times New Roman" w:cs="Times New Roman"/>
          <w:sz w:val="24"/>
          <w:szCs w:val="24"/>
        </w:rPr>
        <w:t>finance</w:t>
      </w:r>
      <w:r w:rsidR="00823DD4" w:rsidRPr="00B04A17">
        <w:rPr>
          <w:rFonts w:ascii="Times New Roman" w:hAnsi="Times New Roman" w:cs="Times New Roman"/>
          <w:sz w:val="24"/>
          <w:szCs w:val="24"/>
        </w:rPr>
        <w:t xml:space="preserve">. </w:t>
      </w:r>
      <w:r w:rsidR="00DA0B95" w:rsidRPr="00B04A17">
        <w:rPr>
          <w:rFonts w:ascii="Times New Roman" w:hAnsi="Times New Roman" w:cs="Times New Roman"/>
          <w:sz w:val="24"/>
          <w:szCs w:val="24"/>
        </w:rPr>
        <w:t>Once recently-approved quota increases become effective, t</w:t>
      </w:r>
      <w:r w:rsidR="00823DD4" w:rsidRPr="00B04A17">
        <w:rPr>
          <w:rFonts w:ascii="Times New Roman" w:hAnsi="Times New Roman" w:cs="Times New Roman"/>
          <w:sz w:val="24"/>
          <w:szCs w:val="24"/>
        </w:rPr>
        <w:t xml:space="preserve">his approach will </w:t>
      </w:r>
      <w:r w:rsidR="00DA0B95" w:rsidRPr="00B04A17">
        <w:rPr>
          <w:rFonts w:ascii="Times New Roman" w:hAnsi="Times New Roman" w:cs="Times New Roman"/>
          <w:sz w:val="24"/>
          <w:szCs w:val="24"/>
        </w:rPr>
        <w:t xml:space="preserve">also enable the IMF to </w:t>
      </w:r>
      <w:r w:rsidR="0047177B" w:rsidRPr="00B04A17">
        <w:rPr>
          <w:rFonts w:ascii="Times New Roman" w:hAnsi="Times New Roman" w:cs="Times New Roman"/>
          <w:sz w:val="24"/>
          <w:szCs w:val="24"/>
        </w:rPr>
        <w:t>maintain current access limits for LICs</w:t>
      </w:r>
      <w:r w:rsidR="00DA0B95" w:rsidRPr="00B04A17">
        <w:rPr>
          <w:rFonts w:ascii="Times New Roman" w:hAnsi="Times New Roman" w:cs="Times New Roman"/>
          <w:sz w:val="24"/>
          <w:szCs w:val="24"/>
        </w:rPr>
        <w:t xml:space="preserve"> – including access to Fund shock facilities - as a proportion of members quotas</w:t>
      </w:r>
      <w:r w:rsidR="00DA0B95">
        <w:rPr>
          <w:rFonts w:ascii="Times New Roman" w:hAnsi="Times New Roman" w:cs="Times New Roman"/>
          <w:sz w:val="24"/>
          <w:szCs w:val="24"/>
        </w:rPr>
        <w:t>.</w:t>
      </w:r>
    </w:p>
    <w:p w:rsidR="004A52AA" w:rsidRPr="00E12CEA" w:rsidRDefault="004A52AA">
      <w:pPr>
        <w:spacing w:after="0" w:line="240" w:lineRule="auto"/>
        <w:ind w:right="288"/>
        <w:jc w:val="both"/>
        <w:rPr>
          <w:rFonts w:ascii="Times New Roman" w:hAnsi="Times New Roman" w:cs="Times New Roman"/>
          <w:sz w:val="24"/>
          <w:szCs w:val="24"/>
        </w:rPr>
      </w:pPr>
    </w:p>
    <w:p w:rsidR="00E225DF" w:rsidRDefault="00E225DF">
      <w:pPr>
        <w:spacing w:after="0" w:line="240" w:lineRule="auto"/>
        <w:ind w:right="288"/>
        <w:jc w:val="both"/>
        <w:rPr>
          <w:rFonts w:cstheme="minorHAnsi"/>
          <w:sz w:val="24"/>
          <w:szCs w:val="24"/>
        </w:rPr>
      </w:pPr>
    </w:p>
    <w:p w:rsidR="00C33741" w:rsidRPr="00E12CEA" w:rsidRDefault="00F93037">
      <w:pPr>
        <w:spacing w:after="0" w:line="240" w:lineRule="auto"/>
        <w:ind w:right="288"/>
        <w:jc w:val="both"/>
        <w:rPr>
          <w:rFonts w:cstheme="minorHAnsi"/>
          <w:sz w:val="24"/>
          <w:szCs w:val="24"/>
        </w:rPr>
      </w:pPr>
      <w:r w:rsidRPr="00E12CEA">
        <w:rPr>
          <w:rFonts w:cstheme="minorHAnsi"/>
          <w:b/>
          <w:bCs/>
          <w:noProof/>
          <w:sz w:val="24"/>
          <w:szCs w:val="24"/>
        </w:rPr>
        <mc:AlternateContent>
          <mc:Choice Requires="wps">
            <w:drawing>
              <wp:anchor distT="0" distB="0" distL="114300" distR="114300" simplePos="0" relativeHeight="251668480" behindDoc="0" locked="0" layoutInCell="1" allowOverlap="1" wp14:anchorId="11207409" wp14:editId="251048E0">
                <wp:simplePos x="0" y="0"/>
                <wp:positionH relativeFrom="column">
                  <wp:posOffset>436880</wp:posOffset>
                </wp:positionH>
                <wp:positionV relativeFrom="paragraph">
                  <wp:posOffset>25400</wp:posOffset>
                </wp:positionV>
                <wp:extent cx="5215890" cy="1652905"/>
                <wp:effectExtent l="0" t="0" r="22860" b="234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1652905"/>
                        </a:xfrm>
                        <a:prstGeom prst="rect">
                          <a:avLst/>
                        </a:prstGeom>
                        <a:solidFill>
                          <a:schemeClr val="bg1">
                            <a:lumMod val="85000"/>
                          </a:schemeClr>
                        </a:solidFill>
                        <a:ln w="9525">
                          <a:solidFill>
                            <a:srgbClr val="000000"/>
                          </a:solidFill>
                          <a:miter lim="800000"/>
                          <a:headEnd/>
                          <a:tailEnd/>
                        </a:ln>
                      </wps:spPr>
                      <wps:txbx>
                        <w:txbxContent>
                          <w:p w:rsidR="008E10B3" w:rsidRPr="007F6CE2" w:rsidRDefault="008E10B3" w:rsidP="00E96CFF">
                            <w:pPr>
                              <w:rPr>
                                <w:rFonts w:ascii="Times New Roman" w:hAnsi="Times New Roman" w:cs="Times New Roman"/>
                                <w:b/>
                                <w:sz w:val="24"/>
                                <w:szCs w:val="24"/>
                              </w:rPr>
                            </w:pPr>
                            <w:r w:rsidRPr="007F6CE2">
                              <w:rPr>
                                <w:rFonts w:ascii="Times New Roman" w:hAnsi="Times New Roman" w:cs="Times New Roman"/>
                                <w:b/>
                                <w:sz w:val="24"/>
                                <w:szCs w:val="24"/>
                              </w:rPr>
                              <w:t>Key Issues and Questions for Ministers</w:t>
                            </w:r>
                          </w:p>
                          <w:p w:rsidR="008E10B3" w:rsidRPr="007F6CE2" w:rsidRDefault="008E10B3" w:rsidP="005A0FFC">
                            <w:pPr>
                              <w:pStyle w:val="ListParagraph"/>
                              <w:numPr>
                                <w:ilvl w:val="0"/>
                                <w:numId w:val="11"/>
                              </w:numPr>
                              <w:rPr>
                                <w:rFonts w:ascii="Times New Roman" w:hAnsi="Times New Roman" w:cs="Times New Roman"/>
                                <w:b/>
                                <w:sz w:val="24"/>
                                <w:szCs w:val="24"/>
                              </w:rPr>
                            </w:pPr>
                            <w:r w:rsidRPr="007F6CE2">
                              <w:rPr>
                                <w:rFonts w:ascii="Times New Roman" w:hAnsi="Times New Roman" w:cs="Times New Roman"/>
                                <w:b/>
                                <w:sz w:val="24"/>
                                <w:szCs w:val="24"/>
                              </w:rPr>
                              <w:t>Ministers are asked to comment on the use of remaining gold sale profits to fund the IMF PRGT subsidy account?</w:t>
                            </w:r>
                          </w:p>
                          <w:p w:rsidR="008E10B3" w:rsidRPr="007F6CE2" w:rsidRDefault="008E10B3" w:rsidP="005A0FFC">
                            <w:pPr>
                              <w:pStyle w:val="ListParagraph"/>
                              <w:numPr>
                                <w:ilvl w:val="0"/>
                                <w:numId w:val="11"/>
                              </w:numPr>
                              <w:rPr>
                                <w:rFonts w:ascii="Times New Roman" w:hAnsi="Times New Roman" w:cs="Times New Roman"/>
                                <w:b/>
                                <w:sz w:val="24"/>
                                <w:szCs w:val="24"/>
                              </w:rPr>
                            </w:pPr>
                            <w:r w:rsidRPr="007F6CE2">
                              <w:rPr>
                                <w:rFonts w:ascii="Times New Roman" w:hAnsi="Times New Roman" w:cs="Times New Roman"/>
                                <w:b/>
                                <w:sz w:val="24"/>
                                <w:szCs w:val="24"/>
                              </w:rPr>
                              <w:t>If this is deemed desirable, what role can member countries play in building momentum to achieve this; and what role can the Commonwealth Secretariat play?</w:t>
                            </w:r>
                          </w:p>
                          <w:p w:rsidR="008E10B3" w:rsidRDefault="008E10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4pt;margin-top:2pt;width:410.7pt;height:13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p/PQIAAHAEAAAOAAAAZHJzL2Uyb0RvYy54bWysVNtu2zAMfR+wfxD0vtjx4i4x4hRdug4D&#10;ugvQ7gNkWbaFSaInKbG7ry8lJ5m7vQ17EUSRPiTPIb29HrUiR2GdBFPS5SKlRBgOtTRtSb8/3r1Z&#10;U+I8MzVTYERJn4Sj17vXr7ZDX4gMOlC1sARBjCuGvqSd932RJI53QjO3gF4YdDZgNfNo2japLRsQ&#10;XaskS9OrZABb9xa4cA5fbycn3UX8phHcf20aJzxRJcXafDxtPKtwJrstK1rL+k7yUxnsH6rQTBpM&#10;eoG6ZZ6Rg5V/QWnJLTho/IKDTqBpJBexB+xmmf7RzUPHehF7QXJcf6HJ/T9Y/uX4zRJZo3Y5JYZp&#10;1OhRjJ68h5FkgZ6hdwVGPfQY50d8xtDYquvvgf9wxMC+Y6YVN9bC0AlWY3nL8GUy+3TCcQGkGj5D&#10;jWnYwUMEGhurA3fIBkF0lOnpIk0oheNjni3z9QZdHH3LqzzbpHnMwYrz5711/qMATcKlpBa1j/Ds&#10;eO98KIcV55CQzYGS9Z1UKhph3sReWXJkOClVO7WoDhprnd7WeZrGeUGcOJ4hPKK+QFKGDCXd5Fk+&#10;kfQii22rSw5EmwHOw7T0uBNK6pKuL0GsCNR+MHWcWM+kmu5YjTInrgO9E9F+rMao6tuzhBXUT0i+&#10;hWkFcGXx0oH9RcmA419S9/PArKBEfTIo4Ga5WoV9icYqf5ehYeeeau5hhiNUST0l03Xv444Fag3c&#10;oNCNjBKEiZgqOZWMYx05PK1g2Ju5HaN+/yh2zwAAAP//AwBQSwMEFAAGAAgAAAAhAF81DarfAAAA&#10;CAEAAA8AAABkcnMvZG93bnJldi54bWxMj0FLw0AUhO+C/2F5gpdiN4kljTEvpQg9KaJRgsdNdk2C&#10;2bchu23jv/d50uMww8w3xW6xoziZ2Q+OEOJ1BMJQ6/RAHcL72+EmA+GDIq1GRwbh23jYlZcXhcq1&#10;O9OrOVWhE1xCPlcIfQhTLqVve2OVX7vJEHufbrYqsJw7qWd15nI7yiSKUmnVQLzQq8k89Kb9qo4W&#10;oXnaPqb7Q71t9cdqXlV1/Fy/xIjXV8v+HkQwS/gLwy8+o0PJTI07kvZiREgzJg8IG37EdnYXJSAa&#10;hCTd3IIsC/n/QPkDAAD//wMAUEsBAi0AFAAGAAgAAAAhALaDOJL+AAAA4QEAABMAAAAAAAAAAAAA&#10;AAAAAAAAAFtDb250ZW50X1R5cGVzXS54bWxQSwECLQAUAAYACAAAACEAOP0h/9YAAACUAQAACwAA&#10;AAAAAAAAAAAAAAAvAQAAX3JlbHMvLnJlbHNQSwECLQAUAAYACAAAACEA1yJKfz0CAABwBAAADgAA&#10;AAAAAAAAAAAAAAAuAgAAZHJzL2Uyb0RvYy54bWxQSwECLQAUAAYACAAAACEAXzUNqt8AAAAIAQAA&#10;DwAAAAAAAAAAAAAAAACXBAAAZHJzL2Rvd25yZXYueG1sUEsFBgAAAAAEAAQA8wAAAKMFAAAAAA==&#10;" fillcolor="#d8d8d8 [2732]">
                <v:textbox>
                  <w:txbxContent>
                    <w:p w:rsidR="00E71614" w:rsidRPr="007F6CE2" w:rsidRDefault="00E71614" w:rsidP="00E96CFF">
                      <w:pPr>
                        <w:rPr>
                          <w:rFonts w:ascii="Times New Roman" w:hAnsi="Times New Roman" w:cs="Times New Roman"/>
                          <w:b/>
                          <w:sz w:val="24"/>
                          <w:szCs w:val="24"/>
                        </w:rPr>
                      </w:pPr>
                      <w:r w:rsidRPr="007F6CE2">
                        <w:rPr>
                          <w:rFonts w:ascii="Times New Roman" w:hAnsi="Times New Roman" w:cs="Times New Roman"/>
                          <w:b/>
                          <w:sz w:val="24"/>
                          <w:szCs w:val="24"/>
                        </w:rPr>
                        <w:t>Key Issues and Questions for Ministers</w:t>
                      </w:r>
                    </w:p>
                    <w:p w:rsidR="00E71614" w:rsidRPr="007F6CE2" w:rsidRDefault="00E71614" w:rsidP="005A0FFC">
                      <w:pPr>
                        <w:pStyle w:val="ListParagraph"/>
                        <w:numPr>
                          <w:ilvl w:val="0"/>
                          <w:numId w:val="11"/>
                        </w:numPr>
                        <w:rPr>
                          <w:rFonts w:ascii="Times New Roman" w:hAnsi="Times New Roman" w:cs="Times New Roman"/>
                          <w:b/>
                          <w:sz w:val="24"/>
                          <w:szCs w:val="24"/>
                        </w:rPr>
                      </w:pPr>
                      <w:r w:rsidRPr="007F6CE2">
                        <w:rPr>
                          <w:rFonts w:ascii="Times New Roman" w:hAnsi="Times New Roman" w:cs="Times New Roman"/>
                          <w:b/>
                          <w:sz w:val="24"/>
                          <w:szCs w:val="24"/>
                        </w:rPr>
                        <w:t>Ministers are asked to comment on the use of remaining gold sale profits to fund the IMF PRGT subsidy account?</w:t>
                      </w:r>
                    </w:p>
                    <w:p w:rsidR="00E71614" w:rsidRPr="007F6CE2" w:rsidRDefault="00E71614" w:rsidP="005A0FFC">
                      <w:pPr>
                        <w:pStyle w:val="ListParagraph"/>
                        <w:numPr>
                          <w:ilvl w:val="0"/>
                          <w:numId w:val="11"/>
                        </w:numPr>
                        <w:rPr>
                          <w:rFonts w:ascii="Times New Roman" w:hAnsi="Times New Roman" w:cs="Times New Roman"/>
                          <w:b/>
                          <w:sz w:val="24"/>
                          <w:szCs w:val="24"/>
                        </w:rPr>
                      </w:pPr>
                      <w:r w:rsidRPr="007F6CE2">
                        <w:rPr>
                          <w:rFonts w:ascii="Times New Roman" w:hAnsi="Times New Roman" w:cs="Times New Roman"/>
                          <w:b/>
                          <w:sz w:val="24"/>
                          <w:szCs w:val="24"/>
                        </w:rPr>
                        <w:t>If this is deemed desirable, what role can member countries play in building momentum to achieve this; and what role can the Commonwealth Secretariat play?</w:t>
                      </w:r>
                    </w:p>
                    <w:p w:rsidR="00E71614" w:rsidRDefault="00E71614"/>
                  </w:txbxContent>
                </v:textbox>
              </v:shape>
            </w:pict>
          </mc:Fallback>
        </mc:AlternateContent>
      </w:r>
    </w:p>
    <w:p w:rsidR="00E96CFF" w:rsidRPr="00E12CEA" w:rsidRDefault="00E96CFF">
      <w:pPr>
        <w:spacing w:after="0" w:line="240" w:lineRule="auto"/>
        <w:ind w:left="709" w:right="288" w:hanging="142"/>
        <w:jc w:val="both"/>
        <w:rPr>
          <w:rFonts w:cstheme="minorHAnsi"/>
          <w:b/>
          <w:bCs/>
          <w:sz w:val="24"/>
          <w:szCs w:val="24"/>
        </w:rPr>
      </w:pPr>
      <w:bookmarkStart w:id="3" w:name="_Toc278295616"/>
      <w:bookmarkStart w:id="4" w:name="_Toc278847610"/>
    </w:p>
    <w:p w:rsidR="00E96CFF" w:rsidRPr="00E12CEA" w:rsidRDefault="00E96CFF">
      <w:pPr>
        <w:spacing w:after="0" w:line="240" w:lineRule="auto"/>
        <w:ind w:left="709" w:right="288" w:hanging="142"/>
        <w:jc w:val="both"/>
        <w:rPr>
          <w:rFonts w:cstheme="minorHAnsi"/>
          <w:b/>
          <w:bCs/>
          <w:sz w:val="24"/>
          <w:szCs w:val="24"/>
        </w:rPr>
      </w:pPr>
    </w:p>
    <w:p w:rsidR="00E96CFF" w:rsidRPr="00E12CEA" w:rsidRDefault="00E96CFF">
      <w:pPr>
        <w:spacing w:after="0" w:line="240" w:lineRule="auto"/>
        <w:ind w:left="709" w:right="288" w:hanging="142"/>
        <w:jc w:val="both"/>
        <w:rPr>
          <w:rFonts w:cstheme="minorHAnsi"/>
          <w:b/>
          <w:bCs/>
          <w:sz w:val="24"/>
          <w:szCs w:val="24"/>
        </w:rPr>
      </w:pPr>
    </w:p>
    <w:p w:rsidR="00E96CFF" w:rsidRPr="00E12CEA" w:rsidRDefault="00E96CFF">
      <w:pPr>
        <w:spacing w:after="0" w:line="240" w:lineRule="auto"/>
        <w:ind w:left="709" w:right="288" w:hanging="142"/>
        <w:jc w:val="both"/>
        <w:rPr>
          <w:rFonts w:cstheme="minorHAnsi"/>
          <w:b/>
          <w:bCs/>
          <w:sz w:val="24"/>
          <w:szCs w:val="24"/>
        </w:rPr>
      </w:pPr>
    </w:p>
    <w:p w:rsidR="00E96CFF" w:rsidRPr="00E12CEA" w:rsidRDefault="00E96CFF">
      <w:pPr>
        <w:spacing w:after="0" w:line="240" w:lineRule="auto"/>
        <w:ind w:left="709" w:right="288" w:hanging="142"/>
        <w:jc w:val="both"/>
        <w:rPr>
          <w:rFonts w:cstheme="minorHAnsi"/>
          <w:b/>
          <w:bCs/>
          <w:sz w:val="24"/>
          <w:szCs w:val="24"/>
        </w:rPr>
      </w:pPr>
    </w:p>
    <w:p w:rsidR="00E96CFF" w:rsidRPr="00E12CEA" w:rsidRDefault="00E96CFF">
      <w:pPr>
        <w:spacing w:after="0" w:line="240" w:lineRule="auto"/>
        <w:ind w:left="709" w:right="288" w:hanging="142"/>
        <w:jc w:val="both"/>
        <w:rPr>
          <w:rFonts w:cstheme="minorHAnsi"/>
          <w:b/>
          <w:bCs/>
          <w:sz w:val="24"/>
          <w:szCs w:val="24"/>
        </w:rPr>
      </w:pPr>
    </w:p>
    <w:p w:rsidR="00187B81" w:rsidRPr="00E12CEA" w:rsidRDefault="00187B81">
      <w:pPr>
        <w:spacing w:after="0" w:line="240" w:lineRule="auto"/>
        <w:ind w:left="709" w:right="288" w:hanging="142"/>
        <w:jc w:val="both"/>
        <w:rPr>
          <w:rFonts w:ascii="Times New Roman" w:hAnsi="Times New Roman" w:cs="Times New Roman"/>
          <w:b/>
          <w:bCs/>
          <w:sz w:val="24"/>
          <w:szCs w:val="24"/>
        </w:rPr>
      </w:pPr>
    </w:p>
    <w:bookmarkEnd w:id="3"/>
    <w:bookmarkEnd w:id="4"/>
    <w:p w:rsidR="00DE62D7" w:rsidRPr="00E12CEA" w:rsidRDefault="00DE62D7">
      <w:pPr>
        <w:spacing w:after="0" w:line="240" w:lineRule="auto"/>
        <w:jc w:val="both"/>
        <w:rPr>
          <w:rFonts w:ascii="Times New Roman" w:hAnsi="Times New Roman" w:cs="Times New Roman"/>
          <w:sz w:val="24"/>
          <w:szCs w:val="24"/>
        </w:rPr>
      </w:pPr>
    </w:p>
    <w:p w:rsidR="00C94904" w:rsidRDefault="00C94904" w:rsidP="00B04A17">
      <w:pPr>
        <w:spacing w:after="0" w:line="240" w:lineRule="auto"/>
        <w:jc w:val="both"/>
        <w:rPr>
          <w:rFonts w:ascii="Times New Roman" w:hAnsi="Times New Roman" w:cs="Times New Roman"/>
          <w:b/>
          <w:sz w:val="24"/>
          <w:szCs w:val="24"/>
        </w:rPr>
      </w:pPr>
    </w:p>
    <w:p w:rsidR="00534299" w:rsidRDefault="00534299" w:rsidP="00B04A17">
      <w:pPr>
        <w:spacing w:after="0" w:line="240" w:lineRule="auto"/>
        <w:jc w:val="both"/>
        <w:rPr>
          <w:rFonts w:ascii="Times New Roman" w:hAnsi="Times New Roman" w:cs="Times New Roman"/>
          <w:b/>
          <w:sz w:val="24"/>
          <w:szCs w:val="24"/>
        </w:rPr>
      </w:pPr>
    </w:p>
    <w:p w:rsidR="00E225DF" w:rsidRPr="00650132" w:rsidRDefault="00E225DF" w:rsidP="00650132">
      <w:pPr>
        <w:pStyle w:val="ListParagraph"/>
        <w:numPr>
          <w:ilvl w:val="0"/>
          <w:numId w:val="30"/>
        </w:numPr>
        <w:spacing w:after="0" w:line="240" w:lineRule="auto"/>
        <w:ind w:left="0" w:hanging="11"/>
        <w:jc w:val="both"/>
        <w:rPr>
          <w:rFonts w:ascii="Times New Roman" w:hAnsi="Times New Roman" w:cs="Times New Roman"/>
          <w:b/>
          <w:sz w:val="28"/>
          <w:szCs w:val="28"/>
        </w:rPr>
      </w:pPr>
      <w:r w:rsidRPr="00650132">
        <w:rPr>
          <w:rFonts w:ascii="Times New Roman" w:hAnsi="Times New Roman" w:cs="Times New Roman"/>
          <w:b/>
          <w:sz w:val="28"/>
          <w:szCs w:val="28"/>
        </w:rPr>
        <w:t>Policy Recommendations</w:t>
      </w:r>
      <w:r w:rsidR="00DA0B95" w:rsidRPr="00650132">
        <w:rPr>
          <w:rFonts w:ascii="Times New Roman" w:hAnsi="Times New Roman" w:cs="Times New Roman"/>
          <w:b/>
          <w:sz w:val="28"/>
          <w:szCs w:val="28"/>
        </w:rPr>
        <w:t xml:space="preserve"> and Conclusions</w:t>
      </w:r>
    </w:p>
    <w:p w:rsidR="00DE62D7" w:rsidRPr="00E12CEA" w:rsidRDefault="00DE62D7">
      <w:pPr>
        <w:spacing w:after="0" w:line="240" w:lineRule="auto"/>
        <w:ind w:left="284" w:hanging="142"/>
        <w:jc w:val="both"/>
        <w:rPr>
          <w:rFonts w:ascii="Times New Roman" w:hAnsi="Times New Roman" w:cs="Times New Roman"/>
          <w:b/>
          <w:sz w:val="24"/>
          <w:szCs w:val="24"/>
        </w:rPr>
      </w:pPr>
    </w:p>
    <w:p w:rsidR="00E225DF"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64</w:t>
      </w:r>
      <w:r w:rsidR="006F226E" w:rsidRPr="00E12CEA">
        <w:rPr>
          <w:rFonts w:ascii="Times New Roman" w:hAnsi="Times New Roman" w:cs="Times New Roman"/>
          <w:sz w:val="24"/>
          <w:szCs w:val="24"/>
        </w:rPr>
        <w:t>.</w:t>
      </w:r>
      <w:r w:rsidR="006F226E" w:rsidRPr="00E12CEA">
        <w:rPr>
          <w:rFonts w:ascii="Times New Roman" w:hAnsi="Times New Roman" w:cs="Times New Roman"/>
          <w:sz w:val="24"/>
          <w:szCs w:val="24"/>
        </w:rPr>
        <w:tab/>
      </w:r>
      <w:r w:rsidR="00E225DF" w:rsidRPr="00E12CEA">
        <w:rPr>
          <w:rFonts w:ascii="Times New Roman" w:hAnsi="Times New Roman" w:cs="Times New Roman"/>
          <w:sz w:val="24"/>
          <w:szCs w:val="24"/>
        </w:rPr>
        <w:t>The 2007-2009 years were seen as an exceptional period. In response, the international community made significant efforts to help developing countries, by providing them with increased official finance, especially through the IMF and the Multilateral and Regional development banks, as well as through enlarged EU g</w:t>
      </w:r>
      <w:r w:rsidR="003633EA" w:rsidRPr="00E12CEA">
        <w:rPr>
          <w:rFonts w:ascii="Times New Roman" w:hAnsi="Times New Roman" w:cs="Times New Roman"/>
          <w:sz w:val="24"/>
          <w:szCs w:val="24"/>
        </w:rPr>
        <w:t xml:space="preserve">rant support to ACP countries.  </w:t>
      </w:r>
      <w:r w:rsidR="00335BEF" w:rsidRPr="00E12CEA">
        <w:rPr>
          <w:rFonts w:ascii="Times New Roman" w:hAnsi="Times New Roman" w:cs="Times New Roman"/>
          <w:sz w:val="24"/>
          <w:szCs w:val="24"/>
        </w:rPr>
        <w:t xml:space="preserve">The new </w:t>
      </w:r>
      <w:r w:rsidR="00F95A02" w:rsidRPr="00E12CEA">
        <w:rPr>
          <w:rFonts w:ascii="Times New Roman" w:hAnsi="Times New Roman" w:cs="Times New Roman"/>
          <w:sz w:val="24"/>
          <w:szCs w:val="24"/>
        </w:rPr>
        <w:t xml:space="preserve">financing was </w:t>
      </w:r>
      <w:r w:rsidR="00335BEF" w:rsidRPr="00E12CEA">
        <w:rPr>
          <w:rFonts w:ascii="Times New Roman" w:hAnsi="Times New Roman" w:cs="Times New Roman"/>
          <w:sz w:val="24"/>
          <w:szCs w:val="24"/>
        </w:rPr>
        <w:t>partly channelled</w:t>
      </w:r>
      <w:r w:rsidR="003633EA" w:rsidRPr="00E12CEA">
        <w:rPr>
          <w:rFonts w:ascii="Times New Roman" w:hAnsi="Times New Roman" w:cs="Times New Roman"/>
          <w:sz w:val="24"/>
          <w:szCs w:val="24"/>
        </w:rPr>
        <w:t xml:space="preserve"> through new </w:t>
      </w:r>
      <w:r w:rsidR="00946D9D" w:rsidRPr="00E12CEA">
        <w:rPr>
          <w:rFonts w:ascii="Times New Roman" w:hAnsi="Times New Roman" w:cs="Times New Roman"/>
          <w:sz w:val="24"/>
          <w:szCs w:val="24"/>
        </w:rPr>
        <w:t xml:space="preserve">shocks </w:t>
      </w:r>
      <w:r w:rsidR="003633EA" w:rsidRPr="00E12CEA">
        <w:rPr>
          <w:rFonts w:ascii="Times New Roman" w:hAnsi="Times New Roman" w:cs="Times New Roman"/>
          <w:sz w:val="24"/>
          <w:szCs w:val="24"/>
        </w:rPr>
        <w:t xml:space="preserve">facilities, designed </w:t>
      </w:r>
      <w:r w:rsidR="00E225DF" w:rsidRPr="00E12CEA">
        <w:rPr>
          <w:rFonts w:ascii="Times New Roman" w:hAnsi="Times New Roman" w:cs="Times New Roman"/>
          <w:sz w:val="24"/>
          <w:szCs w:val="24"/>
        </w:rPr>
        <w:t xml:space="preserve">to make their disbursements faster and less onerous, and </w:t>
      </w:r>
      <w:r w:rsidR="00F95A02" w:rsidRPr="00E12CEA">
        <w:rPr>
          <w:rFonts w:ascii="Times New Roman" w:hAnsi="Times New Roman" w:cs="Times New Roman"/>
          <w:sz w:val="24"/>
          <w:szCs w:val="24"/>
        </w:rPr>
        <w:t xml:space="preserve">in some cases </w:t>
      </w:r>
      <w:r w:rsidR="00E225DF" w:rsidRPr="00E12CEA">
        <w:rPr>
          <w:rFonts w:ascii="Times New Roman" w:hAnsi="Times New Roman" w:cs="Times New Roman"/>
          <w:sz w:val="24"/>
          <w:szCs w:val="24"/>
        </w:rPr>
        <w:t>by embedding higher concessionality.</w:t>
      </w:r>
    </w:p>
    <w:p w:rsidR="00DE62D7" w:rsidRPr="00E12CEA" w:rsidRDefault="00DE62D7">
      <w:pPr>
        <w:spacing w:after="0" w:line="240" w:lineRule="auto"/>
        <w:jc w:val="both"/>
        <w:rPr>
          <w:rFonts w:ascii="Times New Roman" w:hAnsi="Times New Roman" w:cs="Times New Roman"/>
          <w:sz w:val="24"/>
          <w:szCs w:val="24"/>
        </w:rPr>
      </w:pPr>
    </w:p>
    <w:p w:rsidR="00E225DF" w:rsidRPr="00E12CEA" w:rsidRDefault="00C57678" w:rsidP="00B04A17">
      <w:pPr>
        <w:tabs>
          <w:tab w:val="left" w:pos="567"/>
        </w:tabs>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65</w:t>
      </w:r>
      <w:r w:rsidR="006F226E" w:rsidRPr="00B04A17">
        <w:rPr>
          <w:rFonts w:ascii="Times New Roman" w:hAnsi="Times New Roman" w:cs="Times New Roman"/>
          <w:sz w:val="24"/>
          <w:szCs w:val="24"/>
        </w:rPr>
        <w:t>.</w:t>
      </w:r>
      <w:r w:rsidR="006F226E" w:rsidRPr="00E12CEA">
        <w:rPr>
          <w:rFonts w:ascii="Times New Roman" w:hAnsi="Times New Roman" w:cs="Times New Roman"/>
          <w:b/>
          <w:sz w:val="24"/>
          <w:szCs w:val="24"/>
        </w:rPr>
        <w:tab/>
      </w:r>
      <w:r w:rsidR="00E225DF" w:rsidRPr="00E12CEA">
        <w:rPr>
          <w:rFonts w:ascii="Times New Roman" w:hAnsi="Times New Roman" w:cs="Times New Roman"/>
          <w:b/>
          <w:sz w:val="24"/>
          <w:szCs w:val="24"/>
        </w:rPr>
        <w:t xml:space="preserve">However, </w:t>
      </w:r>
      <w:r w:rsidR="00DA0B95">
        <w:rPr>
          <w:rFonts w:ascii="Times New Roman" w:hAnsi="Times New Roman" w:cs="Times New Roman"/>
          <w:b/>
          <w:sz w:val="24"/>
          <w:szCs w:val="24"/>
        </w:rPr>
        <w:t xml:space="preserve">the frequency and depth of shocks experienced in </w:t>
      </w:r>
      <w:r w:rsidR="00E225DF" w:rsidRPr="00E12CEA">
        <w:rPr>
          <w:rFonts w:ascii="Times New Roman" w:hAnsi="Times New Roman" w:cs="Times New Roman"/>
          <w:b/>
          <w:sz w:val="24"/>
          <w:szCs w:val="24"/>
        </w:rPr>
        <w:t>2007-2009</w:t>
      </w:r>
      <w:r w:rsidR="00DA0B95">
        <w:rPr>
          <w:rFonts w:ascii="Times New Roman" w:hAnsi="Times New Roman" w:cs="Times New Roman"/>
          <w:b/>
          <w:sz w:val="24"/>
          <w:szCs w:val="24"/>
        </w:rPr>
        <w:t xml:space="preserve"> – seen as exceptional then –</w:t>
      </w:r>
      <w:r w:rsidR="00067326">
        <w:rPr>
          <w:rFonts w:ascii="Times New Roman" w:hAnsi="Times New Roman" w:cs="Times New Roman"/>
          <w:b/>
          <w:sz w:val="24"/>
          <w:szCs w:val="24"/>
        </w:rPr>
        <w:t xml:space="preserve"> </w:t>
      </w:r>
      <w:r w:rsidR="00DA0B95">
        <w:rPr>
          <w:rFonts w:ascii="Times New Roman" w:hAnsi="Times New Roman" w:cs="Times New Roman"/>
          <w:b/>
          <w:sz w:val="24"/>
          <w:szCs w:val="24"/>
        </w:rPr>
        <w:t>has continued, so b</w:t>
      </w:r>
      <w:r w:rsidR="00E225DF" w:rsidRPr="00E12CEA">
        <w:rPr>
          <w:rFonts w:ascii="Times New Roman" w:hAnsi="Times New Roman" w:cs="Times New Roman"/>
          <w:b/>
          <w:sz w:val="24"/>
          <w:szCs w:val="24"/>
        </w:rPr>
        <w:t>ecoming the new normal.</w:t>
      </w:r>
      <w:r w:rsidR="00D35035" w:rsidRPr="00E12CEA">
        <w:rPr>
          <w:rFonts w:ascii="Times New Roman" w:hAnsi="Times New Roman" w:cs="Times New Roman"/>
          <w:b/>
          <w:sz w:val="24"/>
          <w:szCs w:val="24"/>
        </w:rPr>
        <w:t xml:space="preserve"> </w:t>
      </w:r>
      <w:r w:rsidR="00DA0B95">
        <w:rPr>
          <w:rFonts w:ascii="Times New Roman" w:hAnsi="Times New Roman" w:cs="Times New Roman"/>
          <w:b/>
          <w:sz w:val="24"/>
          <w:szCs w:val="24"/>
        </w:rPr>
        <w:t>For the poorest and most vulnerable Commonwealth members, it seems clear that t</w:t>
      </w:r>
      <w:r w:rsidR="00946D9D" w:rsidRPr="00E12CEA">
        <w:rPr>
          <w:rFonts w:ascii="Times New Roman" w:hAnsi="Times New Roman" w:cs="Times New Roman"/>
          <w:b/>
          <w:sz w:val="24"/>
          <w:szCs w:val="24"/>
        </w:rPr>
        <w:t>he only certainty is uncertainty.</w:t>
      </w:r>
      <w:r w:rsidR="00E225DF" w:rsidRPr="00E12CEA">
        <w:rPr>
          <w:rFonts w:ascii="Times New Roman" w:hAnsi="Times New Roman" w:cs="Times New Roman"/>
          <w:sz w:val="24"/>
          <w:szCs w:val="24"/>
        </w:rPr>
        <w:t xml:space="preserve"> Food and oil price shocks keep returning, and the prospect of a </w:t>
      </w:r>
      <w:r w:rsidR="00DA0B95">
        <w:rPr>
          <w:rFonts w:ascii="Times New Roman" w:hAnsi="Times New Roman" w:cs="Times New Roman"/>
          <w:sz w:val="24"/>
          <w:szCs w:val="24"/>
        </w:rPr>
        <w:t>major global slowdown and possibly recession, prompted by f</w:t>
      </w:r>
      <w:r w:rsidR="00E225DF" w:rsidRPr="00E12CEA">
        <w:rPr>
          <w:rFonts w:ascii="Times New Roman" w:hAnsi="Times New Roman" w:cs="Times New Roman"/>
          <w:sz w:val="24"/>
          <w:szCs w:val="24"/>
        </w:rPr>
        <w:t xml:space="preserve">inancial instability </w:t>
      </w:r>
      <w:r w:rsidR="003856ED" w:rsidRPr="00E12CEA">
        <w:rPr>
          <w:rFonts w:ascii="Times New Roman" w:hAnsi="Times New Roman" w:cs="Times New Roman"/>
          <w:sz w:val="24"/>
          <w:szCs w:val="24"/>
        </w:rPr>
        <w:t xml:space="preserve">and </w:t>
      </w:r>
      <w:r w:rsidR="0008601B">
        <w:rPr>
          <w:rFonts w:ascii="Times New Roman" w:hAnsi="Times New Roman" w:cs="Times New Roman"/>
          <w:sz w:val="24"/>
          <w:szCs w:val="24"/>
        </w:rPr>
        <w:t xml:space="preserve">the </w:t>
      </w:r>
      <w:r w:rsidR="003D0EE7" w:rsidRPr="00E12CEA">
        <w:rPr>
          <w:rFonts w:ascii="Times New Roman" w:hAnsi="Times New Roman" w:cs="Times New Roman"/>
          <w:sz w:val="24"/>
          <w:szCs w:val="24"/>
        </w:rPr>
        <w:t>on-going</w:t>
      </w:r>
      <w:r w:rsidR="00F95A02" w:rsidRPr="00E12CEA">
        <w:rPr>
          <w:rFonts w:ascii="Times New Roman" w:hAnsi="Times New Roman" w:cs="Times New Roman"/>
          <w:sz w:val="24"/>
          <w:szCs w:val="24"/>
        </w:rPr>
        <w:t xml:space="preserve"> crisis </w:t>
      </w:r>
      <w:r w:rsidR="00E225DF" w:rsidRPr="00E12CEA">
        <w:rPr>
          <w:rFonts w:ascii="Times New Roman" w:hAnsi="Times New Roman" w:cs="Times New Roman"/>
          <w:sz w:val="24"/>
          <w:szCs w:val="24"/>
        </w:rPr>
        <w:t xml:space="preserve">in Europe is real. Furthermore, it is possible that the world economy may have a protracted period of slow growth, as many informed observers fear. </w:t>
      </w:r>
      <w:r w:rsidR="0008601B">
        <w:rPr>
          <w:rFonts w:ascii="Times New Roman" w:hAnsi="Times New Roman" w:cs="Times New Roman"/>
          <w:sz w:val="24"/>
          <w:szCs w:val="24"/>
        </w:rPr>
        <w:t>In this framework, i</w:t>
      </w:r>
      <w:r w:rsidR="00E225DF" w:rsidRPr="00E12CEA">
        <w:rPr>
          <w:rFonts w:ascii="Times New Roman" w:hAnsi="Times New Roman" w:cs="Times New Roman"/>
          <w:sz w:val="24"/>
          <w:szCs w:val="24"/>
        </w:rPr>
        <w:t xml:space="preserve">t is not clear whether the new shocks’ facilities </w:t>
      </w:r>
      <w:r w:rsidR="0008601B">
        <w:rPr>
          <w:rFonts w:ascii="Times New Roman" w:hAnsi="Times New Roman" w:cs="Times New Roman"/>
          <w:sz w:val="24"/>
          <w:szCs w:val="24"/>
        </w:rPr>
        <w:t xml:space="preserve">which have emerged in recent years </w:t>
      </w:r>
      <w:r w:rsidR="00E225DF" w:rsidRPr="00E12CEA">
        <w:rPr>
          <w:rFonts w:ascii="Times New Roman" w:hAnsi="Times New Roman" w:cs="Times New Roman"/>
          <w:sz w:val="24"/>
          <w:szCs w:val="24"/>
        </w:rPr>
        <w:t>have been sufficiently effective to help countries meet their urgent external financing needs arisi</w:t>
      </w:r>
      <w:r w:rsidR="003633EA" w:rsidRPr="00E12CEA">
        <w:rPr>
          <w:rFonts w:ascii="Times New Roman" w:hAnsi="Times New Roman" w:cs="Times New Roman"/>
          <w:sz w:val="24"/>
          <w:szCs w:val="24"/>
        </w:rPr>
        <w:t xml:space="preserve">ng from external shocks. </w:t>
      </w:r>
      <w:r w:rsidR="0008601B">
        <w:rPr>
          <w:rFonts w:ascii="Times New Roman" w:hAnsi="Times New Roman" w:cs="Times New Roman"/>
          <w:sz w:val="24"/>
          <w:szCs w:val="24"/>
        </w:rPr>
        <w:t>An important s</w:t>
      </w:r>
      <w:r w:rsidR="00E225DF" w:rsidRPr="00E12CEA">
        <w:rPr>
          <w:rFonts w:ascii="Times New Roman" w:hAnsi="Times New Roman" w:cs="Times New Roman"/>
          <w:sz w:val="24"/>
          <w:szCs w:val="24"/>
        </w:rPr>
        <w:t xml:space="preserve">hortcoming of some of   the new shocks facilities, such as the low conditional IMF RCF </w:t>
      </w:r>
      <w:r w:rsidR="0008601B">
        <w:rPr>
          <w:rFonts w:ascii="Times New Roman" w:hAnsi="Times New Roman" w:cs="Times New Roman"/>
          <w:sz w:val="24"/>
          <w:szCs w:val="24"/>
        </w:rPr>
        <w:t xml:space="preserve">has been </w:t>
      </w:r>
      <w:r w:rsidR="00E225DF" w:rsidRPr="00E12CEA">
        <w:rPr>
          <w:rFonts w:ascii="Times New Roman" w:hAnsi="Times New Roman" w:cs="Times New Roman"/>
          <w:sz w:val="24"/>
          <w:szCs w:val="24"/>
        </w:rPr>
        <w:t>that the financin</w:t>
      </w:r>
      <w:r w:rsidR="003633EA" w:rsidRPr="00E12CEA">
        <w:rPr>
          <w:rFonts w:ascii="Times New Roman" w:hAnsi="Times New Roman" w:cs="Times New Roman"/>
          <w:sz w:val="24"/>
          <w:szCs w:val="24"/>
        </w:rPr>
        <w:t xml:space="preserve">g provided has been small. </w:t>
      </w:r>
      <w:r w:rsidR="00946D9D" w:rsidRPr="00E12CEA">
        <w:rPr>
          <w:rFonts w:ascii="Times New Roman" w:hAnsi="Times New Roman" w:cs="Times New Roman"/>
          <w:sz w:val="24"/>
          <w:szCs w:val="24"/>
        </w:rPr>
        <w:t>It seems desirable both to strengthen the importance and improve shocks financing facilities, and to make them far more permanent, including in their funding.</w:t>
      </w:r>
    </w:p>
    <w:p w:rsidR="00DE62D7" w:rsidRPr="00E12CEA" w:rsidRDefault="00DE62D7">
      <w:pPr>
        <w:spacing w:after="0" w:line="240" w:lineRule="auto"/>
        <w:jc w:val="both"/>
        <w:rPr>
          <w:rFonts w:ascii="Times New Roman" w:hAnsi="Times New Roman" w:cs="Times New Roman"/>
          <w:sz w:val="24"/>
          <w:szCs w:val="24"/>
        </w:rPr>
      </w:pPr>
    </w:p>
    <w:p w:rsidR="00E225DF"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r w:rsidR="006F226E" w:rsidRPr="00E12CEA">
        <w:rPr>
          <w:rFonts w:ascii="Times New Roman" w:hAnsi="Times New Roman" w:cs="Times New Roman"/>
          <w:sz w:val="24"/>
          <w:szCs w:val="24"/>
        </w:rPr>
        <w:t>.</w:t>
      </w:r>
      <w:r w:rsidR="006F226E" w:rsidRPr="00E12CEA">
        <w:rPr>
          <w:rFonts w:ascii="Times New Roman" w:hAnsi="Times New Roman" w:cs="Times New Roman"/>
          <w:sz w:val="24"/>
          <w:szCs w:val="24"/>
        </w:rPr>
        <w:tab/>
      </w:r>
      <w:r w:rsidR="00E225DF" w:rsidRPr="00E12CEA">
        <w:rPr>
          <w:rFonts w:ascii="Times New Roman" w:hAnsi="Times New Roman" w:cs="Times New Roman"/>
          <w:sz w:val="24"/>
          <w:szCs w:val="24"/>
        </w:rPr>
        <w:t>The policy recommendation</w:t>
      </w:r>
      <w:r w:rsidR="003633EA" w:rsidRPr="00E12CEA">
        <w:rPr>
          <w:rFonts w:ascii="Times New Roman" w:hAnsi="Times New Roman" w:cs="Times New Roman"/>
          <w:sz w:val="24"/>
          <w:szCs w:val="24"/>
        </w:rPr>
        <w:t>s that emerge</w:t>
      </w:r>
      <w:r w:rsidR="00FA4865" w:rsidRPr="00E12CEA">
        <w:rPr>
          <w:rFonts w:ascii="Times New Roman" w:hAnsi="Times New Roman" w:cs="Times New Roman"/>
          <w:sz w:val="24"/>
          <w:szCs w:val="24"/>
        </w:rPr>
        <w:t xml:space="preserve"> </w:t>
      </w:r>
      <w:r w:rsidR="00E225DF" w:rsidRPr="00E12CEA">
        <w:rPr>
          <w:rFonts w:ascii="Times New Roman" w:hAnsi="Times New Roman" w:cs="Times New Roman"/>
          <w:sz w:val="24"/>
          <w:szCs w:val="24"/>
        </w:rPr>
        <w:t xml:space="preserve">from </w:t>
      </w:r>
      <w:r w:rsidR="00D35035" w:rsidRPr="00E12CEA">
        <w:rPr>
          <w:rFonts w:ascii="Times New Roman" w:hAnsi="Times New Roman" w:cs="Times New Roman"/>
          <w:sz w:val="24"/>
          <w:szCs w:val="24"/>
        </w:rPr>
        <w:t>the</w:t>
      </w:r>
      <w:r w:rsidR="00E225DF" w:rsidRPr="00E12CEA">
        <w:rPr>
          <w:rFonts w:ascii="Times New Roman" w:hAnsi="Times New Roman" w:cs="Times New Roman"/>
          <w:sz w:val="24"/>
          <w:szCs w:val="24"/>
        </w:rPr>
        <w:t xml:space="preserve"> analysis of Commonwealth countr</w:t>
      </w:r>
      <w:r w:rsidR="00DC4F53" w:rsidRPr="00E12CEA">
        <w:rPr>
          <w:rFonts w:ascii="Times New Roman" w:hAnsi="Times New Roman" w:cs="Times New Roman"/>
          <w:sz w:val="24"/>
          <w:szCs w:val="24"/>
        </w:rPr>
        <w:t xml:space="preserve">ies experiences and from the broader analysis </w:t>
      </w:r>
      <w:r w:rsidR="00D35035" w:rsidRPr="00E12CEA">
        <w:rPr>
          <w:rFonts w:ascii="Times New Roman" w:hAnsi="Times New Roman" w:cs="Times New Roman"/>
          <w:sz w:val="24"/>
          <w:szCs w:val="24"/>
        </w:rPr>
        <w:t>within this paper</w:t>
      </w:r>
      <w:r w:rsidR="00E225DF" w:rsidRPr="00E12CEA">
        <w:rPr>
          <w:rFonts w:ascii="Times New Roman" w:hAnsi="Times New Roman" w:cs="Times New Roman"/>
          <w:sz w:val="24"/>
          <w:szCs w:val="24"/>
        </w:rPr>
        <w:t xml:space="preserve"> </w:t>
      </w:r>
      <w:r w:rsidR="00067326">
        <w:rPr>
          <w:rFonts w:ascii="Times New Roman" w:hAnsi="Times New Roman" w:cs="Times New Roman"/>
          <w:sz w:val="24"/>
          <w:szCs w:val="24"/>
        </w:rPr>
        <w:t xml:space="preserve">are </w:t>
      </w:r>
      <w:r w:rsidR="00E225DF" w:rsidRPr="00E12CEA">
        <w:rPr>
          <w:rFonts w:ascii="Times New Roman" w:hAnsi="Times New Roman" w:cs="Times New Roman"/>
          <w:sz w:val="24"/>
          <w:szCs w:val="24"/>
        </w:rPr>
        <w:t xml:space="preserve">that, in a global context in which  both economic and natural shocks are becoming more frequent, </w:t>
      </w:r>
      <w:r w:rsidR="00E225DF" w:rsidRPr="00B04A17">
        <w:rPr>
          <w:rFonts w:ascii="Times New Roman" w:hAnsi="Times New Roman" w:cs="Times New Roman"/>
          <w:b/>
          <w:sz w:val="24"/>
          <w:szCs w:val="24"/>
        </w:rPr>
        <w:t>it seems appropriate that the shocks’ facilities become larger</w:t>
      </w:r>
      <w:r w:rsidR="00E225DF" w:rsidRPr="00E12CEA">
        <w:rPr>
          <w:rFonts w:ascii="Times New Roman" w:hAnsi="Times New Roman" w:cs="Times New Roman"/>
          <w:sz w:val="24"/>
          <w:szCs w:val="24"/>
        </w:rPr>
        <w:t xml:space="preserve">, so that countries do not need to </w:t>
      </w:r>
      <w:r w:rsidR="0008601B">
        <w:rPr>
          <w:rFonts w:ascii="Times New Roman" w:hAnsi="Times New Roman" w:cs="Times New Roman"/>
          <w:sz w:val="24"/>
          <w:szCs w:val="24"/>
        </w:rPr>
        <w:lastRenderedPageBreak/>
        <w:t xml:space="preserve">regularly </w:t>
      </w:r>
      <w:r w:rsidR="00E225DF" w:rsidRPr="00E12CEA">
        <w:rPr>
          <w:rFonts w:ascii="Times New Roman" w:hAnsi="Times New Roman" w:cs="Times New Roman"/>
          <w:sz w:val="24"/>
          <w:szCs w:val="24"/>
        </w:rPr>
        <w:t>seek new financing</w:t>
      </w:r>
      <w:r w:rsidR="0008601B">
        <w:rPr>
          <w:rFonts w:ascii="Times New Roman" w:hAnsi="Times New Roman" w:cs="Times New Roman"/>
          <w:sz w:val="24"/>
          <w:szCs w:val="24"/>
        </w:rPr>
        <w:t xml:space="preserve">; </w:t>
      </w:r>
      <w:r w:rsidR="00E225DF" w:rsidRPr="00E12CEA">
        <w:rPr>
          <w:rFonts w:ascii="Times New Roman" w:hAnsi="Times New Roman" w:cs="Times New Roman"/>
          <w:sz w:val="24"/>
          <w:szCs w:val="24"/>
        </w:rPr>
        <w:t xml:space="preserve"> and have larger breathing space to rebuild their buffers in order to become more resilient to shocks and therefore better able to focus on long-term inclusive and sustainable growth.  </w:t>
      </w:r>
      <w:r w:rsidR="0008601B">
        <w:rPr>
          <w:rFonts w:ascii="Times New Roman" w:hAnsi="Times New Roman" w:cs="Times New Roman"/>
          <w:sz w:val="24"/>
          <w:szCs w:val="24"/>
        </w:rPr>
        <w:t>And consequently it</w:t>
      </w:r>
      <w:r w:rsidR="00E225DF" w:rsidRPr="00E12CEA">
        <w:rPr>
          <w:rFonts w:ascii="Times New Roman" w:hAnsi="Times New Roman" w:cs="Times New Roman"/>
          <w:sz w:val="24"/>
          <w:szCs w:val="24"/>
        </w:rPr>
        <w:t xml:space="preserve"> is </w:t>
      </w:r>
      <w:r w:rsidR="0008601B">
        <w:rPr>
          <w:rFonts w:ascii="Times New Roman" w:hAnsi="Times New Roman" w:cs="Times New Roman"/>
          <w:sz w:val="24"/>
          <w:szCs w:val="24"/>
        </w:rPr>
        <w:t xml:space="preserve">important that in its forthcoming </w:t>
      </w:r>
      <w:r w:rsidR="00E225DF" w:rsidRPr="00E12CEA">
        <w:rPr>
          <w:rFonts w:ascii="Times New Roman" w:hAnsi="Times New Roman" w:cs="Times New Roman"/>
          <w:sz w:val="24"/>
          <w:szCs w:val="24"/>
        </w:rPr>
        <w:t xml:space="preserve">Review of IMF low income countries facilities, </w:t>
      </w:r>
      <w:r w:rsidR="00E225DF" w:rsidRPr="00B04A17">
        <w:rPr>
          <w:rFonts w:ascii="Times New Roman" w:hAnsi="Times New Roman" w:cs="Times New Roman"/>
          <w:b/>
          <w:sz w:val="24"/>
          <w:szCs w:val="24"/>
        </w:rPr>
        <w:t>a greater proport</w:t>
      </w:r>
      <w:r w:rsidR="00F95A02" w:rsidRPr="00B04A17">
        <w:rPr>
          <w:rFonts w:ascii="Times New Roman" w:hAnsi="Times New Roman" w:cs="Times New Roman"/>
          <w:b/>
          <w:sz w:val="24"/>
          <w:szCs w:val="24"/>
        </w:rPr>
        <w:t>ion of IMF resources be channel</w:t>
      </w:r>
      <w:r w:rsidR="0008601B" w:rsidRPr="00B04A17">
        <w:rPr>
          <w:rFonts w:ascii="Times New Roman" w:hAnsi="Times New Roman" w:cs="Times New Roman"/>
          <w:b/>
          <w:sz w:val="24"/>
          <w:szCs w:val="24"/>
        </w:rPr>
        <w:t>l</w:t>
      </w:r>
      <w:r w:rsidR="00E225DF" w:rsidRPr="00B04A17">
        <w:rPr>
          <w:rFonts w:ascii="Times New Roman" w:hAnsi="Times New Roman" w:cs="Times New Roman"/>
          <w:b/>
          <w:sz w:val="24"/>
          <w:szCs w:val="24"/>
        </w:rPr>
        <w:t>ed to shocks facilities</w:t>
      </w:r>
      <w:r w:rsidR="00E225DF" w:rsidRPr="00E12CEA">
        <w:rPr>
          <w:rFonts w:ascii="Times New Roman" w:hAnsi="Times New Roman" w:cs="Times New Roman"/>
          <w:sz w:val="24"/>
          <w:szCs w:val="24"/>
        </w:rPr>
        <w:t>. It is also encouraging that the World Bank has made permanent its pilot CRW loan facility for LICs</w:t>
      </w:r>
      <w:r w:rsidR="003856ED" w:rsidRPr="00E12CEA">
        <w:rPr>
          <w:rFonts w:ascii="Times New Roman" w:hAnsi="Times New Roman" w:cs="Times New Roman"/>
          <w:sz w:val="24"/>
          <w:szCs w:val="24"/>
        </w:rPr>
        <w:t xml:space="preserve"> </w:t>
      </w:r>
      <w:r w:rsidR="00F95A02" w:rsidRPr="00E12CEA">
        <w:rPr>
          <w:rFonts w:ascii="Times New Roman" w:hAnsi="Times New Roman" w:cs="Times New Roman"/>
          <w:sz w:val="24"/>
          <w:szCs w:val="24"/>
        </w:rPr>
        <w:t xml:space="preserve">(though the case for liberalizing its rather stringent triggers seems strong); it is also encouraging </w:t>
      </w:r>
      <w:r w:rsidR="00E225DF" w:rsidRPr="00E12CEA">
        <w:rPr>
          <w:rFonts w:ascii="Times New Roman" w:hAnsi="Times New Roman" w:cs="Times New Roman"/>
          <w:sz w:val="24"/>
          <w:szCs w:val="24"/>
        </w:rPr>
        <w:t>that the European Commission is currently studying a new shocks facility that would replace in 2014 the broadly successful</w:t>
      </w:r>
      <w:r w:rsidR="003633EA" w:rsidRPr="00E12CEA">
        <w:rPr>
          <w:rFonts w:ascii="Times New Roman" w:hAnsi="Times New Roman" w:cs="Times New Roman"/>
          <w:sz w:val="24"/>
          <w:szCs w:val="24"/>
        </w:rPr>
        <w:t xml:space="preserve"> </w:t>
      </w:r>
      <w:r w:rsidR="00F95A02" w:rsidRPr="00E12CEA">
        <w:rPr>
          <w:rFonts w:ascii="Times New Roman" w:hAnsi="Times New Roman" w:cs="Times New Roman"/>
          <w:sz w:val="24"/>
          <w:szCs w:val="24"/>
        </w:rPr>
        <w:t>(fairly large and rapidly disbursing)</w:t>
      </w:r>
      <w:r w:rsidR="00E225DF" w:rsidRPr="00E12CEA">
        <w:rPr>
          <w:rFonts w:ascii="Times New Roman" w:hAnsi="Times New Roman" w:cs="Times New Roman"/>
          <w:sz w:val="24"/>
          <w:szCs w:val="24"/>
        </w:rPr>
        <w:t xml:space="preserve"> temporary V-Flex facility, which has now expired.</w:t>
      </w:r>
      <w:r w:rsidR="003633EA" w:rsidRPr="00E12CEA">
        <w:rPr>
          <w:rFonts w:ascii="Times New Roman" w:hAnsi="Times New Roman" w:cs="Times New Roman"/>
          <w:sz w:val="24"/>
          <w:szCs w:val="24"/>
        </w:rPr>
        <w:t xml:space="preserve"> Sufficient scale is a key criterion for making these facilities successful.</w:t>
      </w:r>
    </w:p>
    <w:p w:rsidR="00DE62D7" w:rsidRPr="00E12CEA" w:rsidRDefault="00DE62D7">
      <w:pPr>
        <w:spacing w:after="0" w:line="240" w:lineRule="auto"/>
        <w:jc w:val="both"/>
        <w:rPr>
          <w:rFonts w:ascii="Times New Roman" w:hAnsi="Times New Roman" w:cs="Times New Roman"/>
          <w:sz w:val="24"/>
          <w:szCs w:val="24"/>
        </w:rPr>
      </w:pPr>
    </w:p>
    <w:p w:rsidR="00C46546"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r w:rsidR="006F226E" w:rsidRPr="00E12CEA">
        <w:rPr>
          <w:rFonts w:ascii="Times New Roman" w:hAnsi="Times New Roman" w:cs="Times New Roman"/>
          <w:sz w:val="24"/>
          <w:szCs w:val="24"/>
        </w:rPr>
        <w:t>.</w:t>
      </w:r>
      <w:r w:rsidR="006F226E" w:rsidRPr="00E12CEA">
        <w:rPr>
          <w:rFonts w:ascii="Times New Roman" w:hAnsi="Times New Roman" w:cs="Times New Roman"/>
          <w:sz w:val="24"/>
          <w:szCs w:val="24"/>
        </w:rPr>
        <w:tab/>
      </w:r>
      <w:r w:rsidR="00067326">
        <w:rPr>
          <w:rFonts w:ascii="Times New Roman" w:hAnsi="Times New Roman" w:cs="Times New Roman"/>
          <w:sz w:val="24"/>
          <w:szCs w:val="24"/>
        </w:rPr>
        <w:t>I</w:t>
      </w:r>
      <w:r w:rsidR="00E225DF" w:rsidRPr="00E12CEA">
        <w:rPr>
          <w:rFonts w:ascii="Times New Roman" w:hAnsi="Times New Roman" w:cs="Times New Roman"/>
          <w:sz w:val="24"/>
          <w:szCs w:val="24"/>
        </w:rPr>
        <w:t>t is a</w:t>
      </w:r>
      <w:r w:rsidR="00067326">
        <w:rPr>
          <w:rFonts w:ascii="Times New Roman" w:hAnsi="Times New Roman" w:cs="Times New Roman"/>
          <w:sz w:val="24"/>
          <w:szCs w:val="24"/>
        </w:rPr>
        <w:t xml:space="preserve">lso </w:t>
      </w:r>
      <w:r w:rsidR="00C560FF">
        <w:rPr>
          <w:rFonts w:ascii="Times New Roman" w:hAnsi="Times New Roman" w:cs="Times New Roman"/>
          <w:sz w:val="24"/>
          <w:szCs w:val="24"/>
        </w:rPr>
        <w:t xml:space="preserve">a </w:t>
      </w:r>
      <w:r w:rsidR="00C560FF" w:rsidRPr="00E12CEA">
        <w:rPr>
          <w:rFonts w:ascii="Times New Roman" w:hAnsi="Times New Roman" w:cs="Times New Roman"/>
          <w:sz w:val="24"/>
          <w:szCs w:val="24"/>
        </w:rPr>
        <w:t>major</w:t>
      </w:r>
      <w:r w:rsidR="00E225DF" w:rsidRPr="00E12CEA">
        <w:rPr>
          <w:rFonts w:ascii="Times New Roman" w:hAnsi="Times New Roman" w:cs="Times New Roman"/>
          <w:sz w:val="24"/>
          <w:szCs w:val="24"/>
        </w:rPr>
        <w:t xml:space="preserve"> source of concern that just as the international community is beginning to recognize again the great value of sufficiently large scale shocks compensation</w:t>
      </w:r>
      <w:r w:rsidR="00513E6D" w:rsidRPr="00E12CEA">
        <w:rPr>
          <w:rFonts w:ascii="Times New Roman" w:hAnsi="Times New Roman" w:cs="Times New Roman"/>
          <w:sz w:val="24"/>
          <w:szCs w:val="24"/>
        </w:rPr>
        <w:t xml:space="preserve"> official finance</w:t>
      </w:r>
      <w:r w:rsidR="00E225DF" w:rsidRPr="00E12CEA">
        <w:rPr>
          <w:rFonts w:ascii="Times New Roman" w:hAnsi="Times New Roman" w:cs="Times New Roman"/>
          <w:sz w:val="24"/>
          <w:szCs w:val="24"/>
        </w:rPr>
        <w:t xml:space="preserve"> the resources to make it happen may become more constrained. This is particularly clear for the IMF, where there is a threat that limitations of resources for financing the subsidy element in their lo</w:t>
      </w:r>
      <w:r w:rsidR="0008601B">
        <w:rPr>
          <w:rFonts w:ascii="Times New Roman" w:hAnsi="Times New Roman" w:cs="Times New Roman"/>
          <w:sz w:val="24"/>
          <w:szCs w:val="24"/>
        </w:rPr>
        <w:t>a</w:t>
      </w:r>
      <w:r w:rsidR="00E225DF" w:rsidRPr="00E12CEA">
        <w:rPr>
          <w:rFonts w:ascii="Times New Roman" w:hAnsi="Times New Roman" w:cs="Times New Roman"/>
          <w:sz w:val="24"/>
          <w:szCs w:val="24"/>
        </w:rPr>
        <w:t xml:space="preserve">ns to LICs, could severely constrain the Fund’s ability to lend to LICs after 2014. </w:t>
      </w:r>
      <w:r w:rsidR="0008601B">
        <w:rPr>
          <w:rFonts w:ascii="Times New Roman" w:hAnsi="Times New Roman" w:cs="Times New Roman"/>
          <w:sz w:val="24"/>
          <w:szCs w:val="24"/>
        </w:rPr>
        <w:t xml:space="preserve">A substantial number of Commonwealth members will be adversely affected if concessional financing is constrained after 2014. </w:t>
      </w:r>
      <w:r w:rsidR="0008601B" w:rsidRPr="00B04A17">
        <w:rPr>
          <w:rFonts w:ascii="Times New Roman" w:hAnsi="Times New Roman" w:cs="Times New Roman"/>
          <w:b/>
          <w:sz w:val="24"/>
          <w:szCs w:val="24"/>
        </w:rPr>
        <w:t xml:space="preserve">Consequently it </w:t>
      </w:r>
      <w:r w:rsidR="00E225DF" w:rsidRPr="00B04A17">
        <w:rPr>
          <w:rFonts w:ascii="Times New Roman" w:hAnsi="Times New Roman" w:cs="Times New Roman"/>
          <w:b/>
          <w:sz w:val="24"/>
          <w:szCs w:val="24"/>
        </w:rPr>
        <w:t xml:space="preserve">is </w:t>
      </w:r>
      <w:r w:rsidR="0008601B" w:rsidRPr="00B04A17">
        <w:rPr>
          <w:rFonts w:ascii="Times New Roman" w:hAnsi="Times New Roman" w:cs="Times New Roman"/>
          <w:b/>
          <w:sz w:val="24"/>
          <w:szCs w:val="24"/>
        </w:rPr>
        <w:t xml:space="preserve">important </w:t>
      </w:r>
      <w:r w:rsidR="00E225DF" w:rsidRPr="00B04A17">
        <w:rPr>
          <w:rFonts w:ascii="Times New Roman" w:hAnsi="Times New Roman" w:cs="Times New Roman"/>
          <w:b/>
          <w:sz w:val="24"/>
          <w:szCs w:val="24"/>
        </w:rPr>
        <w:t xml:space="preserve">that </w:t>
      </w:r>
      <w:r w:rsidR="0008601B" w:rsidRPr="00B04A17">
        <w:rPr>
          <w:rFonts w:ascii="Times New Roman" w:hAnsi="Times New Roman" w:cs="Times New Roman"/>
          <w:b/>
          <w:sz w:val="24"/>
          <w:szCs w:val="24"/>
        </w:rPr>
        <w:t xml:space="preserve">the </w:t>
      </w:r>
      <w:r w:rsidR="00E225DF" w:rsidRPr="00B04A17">
        <w:rPr>
          <w:rFonts w:ascii="Times New Roman" w:hAnsi="Times New Roman" w:cs="Times New Roman"/>
          <w:b/>
          <w:sz w:val="24"/>
          <w:szCs w:val="24"/>
        </w:rPr>
        <w:t>Commonwealth</w:t>
      </w:r>
      <w:r w:rsidR="0008601B" w:rsidRPr="00B04A17">
        <w:rPr>
          <w:rFonts w:ascii="Times New Roman" w:hAnsi="Times New Roman" w:cs="Times New Roman"/>
          <w:b/>
          <w:sz w:val="24"/>
          <w:szCs w:val="24"/>
        </w:rPr>
        <w:t xml:space="preserve"> utilises the remaining part of 2012 and 2013, to seek ways to build international consensus on</w:t>
      </w:r>
      <w:r w:rsidR="00E225DF" w:rsidRPr="00B04A17">
        <w:rPr>
          <w:rFonts w:ascii="Times New Roman" w:hAnsi="Times New Roman" w:cs="Times New Roman"/>
          <w:b/>
          <w:sz w:val="24"/>
          <w:szCs w:val="24"/>
        </w:rPr>
        <w:t xml:space="preserve"> </w:t>
      </w:r>
      <w:r w:rsidR="0008601B" w:rsidRPr="00B04A17">
        <w:rPr>
          <w:rFonts w:ascii="Times New Roman" w:hAnsi="Times New Roman" w:cs="Times New Roman"/>
          <w:b/>
          <w:sz w:val="24"/>
          <w:szCs w:val="24"/>
        </w:rPr>
        <w:t>the need to replenish the PRGT beyond 2014, throu</w:t>
      </w:r>
      <w:r w:rsidR="009F107A">
        <w:rPr>
          <w:rFonts w:ascii="Times New Roman" w:hAnsi="Times New Roman" w:cs="Times New Roman"/>
          <w:b/>
          <w:sz w:val="24"/>
          <w:szCs w:val="24"/>
        </w:rPr>
        <w:t>gh concerted action founded on</w:t>
      </w:r>
      <w:r w:rsidR="0008601B" w:rsidRPr="00B04A17">
        <w:rPr>
          <w:rFonts w:ascii="Times New Roman" w:hAnsi="Times New Roman" w:cs="Times New Roman"/>
          <w:b/>
          <w:sz w:val="24"/>
          <w:szCs w:val="24"/>
        </w:rPr>
        <w:t xml:space="preserve"> Commonwealth consensus</w:t>
      </w:r>
      <w:r w:rsidR="009F107A">
        <w:rPr>
          <w:rFonts w:ascii="Times New Roman" w:hAnsi="Times New Roman" w:cs="Times New Roman"/>
          <w:b/>
          <w:sz w:val="24"/>
          <w:szCs w:val="24"/>
        </w:rPr>
        <w:t>.</w:t>
      </w:r>
    </w:p>
    <w:p w:rsidR="00DE62D7" w:rsidRPr="00E12CEA" w:rsidRDefault="00DE62D7">
      <w:pPr>
        <w:spacing w:after="0" w:line="240" w:lineRule="auto"/>
        <w:jc w:val="both"/>
        <w:rPr>
          <w:rFonts w:ascii="Times New Roman" w:hAnsi="Times New Roman" w:cs="Times New Roman"/>
          <w:sz w:val="24"/>
          <w:szCs w:val="24"/>
        </w:rPr>
      </w:pPr>
    </w:p>
    <w:p w:rsidR="00E225DF" w:rsidRPr="00E12CEA" w:rsidRDefault="00C57678" w:rsidP="00B04A17">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r w:rsidR="006F226E" w:rsidRPr="00E12CEA">
        <w:rPr>
          <w:rFonts w:ascii="Times New Roman" w:hAnsi="Times New Roman" w:cs="Times New Roman"/>
          <w:sz w:val="24"/>
          <w:szCs w:val="24"/>
        </w:rPr>
        <w:t>.</w:t>
      </w:r>
      <w:r w:rsidR="006F226E" w:rsidRPr="00E12CEA">
        <w:rPr>
          <w:rFonts w:ascii="Times New Roman" w:hAnsi="Times New Roman" w:cs="Times New Roman"/>
          <w:sz w:val="24"/>
          <w:szCs w:val="24"/>
        </w:rPr>
        <w:tab/>
      </w:r>
      <w:r w:rsidR="009F107A">
        <w:rPr>
          <w:rFonts w:ascii="Times New Roman" w:hAnsi="Times New Roman" w:cs="Times New Roman"/>
          <w:sz w:val="24"/>
          <w:szCs w:val="24"/>
        </w:rPr>
        <w:t>I</w:t>
      </w:r>
      <w:r w:rsidR="00E225DF" w:rsidRPr="00E12CEA">
        <w:rPr>
          <w:rFonts w:ascii="Times New Roman" w:hAnsi="Times New Roman" w:cs="Times New Roman"/>
          <w:sz w:val="24"/>
          <w:szCs w:val="24"/>
        </w:rPr>
        <w:t xml:space="preserve">f the Eurozone crisis continues to be very serious, </w:t>
      </w:r>
      <w:r w:rsidR="00C26832" w:rsidRPr="00E12CEA">
        <w:rPr>
          <w:rFonts w:ascii="Times New Roman" w:hAnsi="Times New Roman" w:cs="Times New Roman"/>
          <w:sz w:val="24"/>
          <w:szCs w:val="24"/>
        </w:rPr>
        <w:t xml:space="preserve">European </w:t>
      </w:r>
      <w:r w:rsidR="00E225DF" w:rsidRPr="00E12CEA">
        <w:rPr>
          <w:rFonts w:ascii="Times New Roman" w:hAnsi="Times New Roman" w:cs="Times New Roman"/>
          <w:sz w:val="24"/>
          <w:szCs w:val="24"/>
        </w:rPr>
        <w:t xml:space="preserve">resources for continued shocks financing </w:t>
      </w:r>
      <w:r w:rsidR="00F95A02" w:rsidRPr="00E12CEA">
        <w:rPr>
          <w:rFonts w:ascii="Times New Roman" w:hAnsi="Times New Roman" w:cs="Times New Roman"/>
          <w:sz w:val="24"/>
          <w:szCs w:val="24"/>
        </w:rPr>
        <w:t>and official counter-cyclical financing in general</w:t>
      </w:r>
      <w:r w:rsidR="009F107A">
        <w:rPr>
          <w:rFonts w:ascii="Times New Roman" w:hAnsi="Times New Roman" w:cs="Times New Roman"/>
          <w:sz w:val="24"/>
          <w:szCs w:val="24"/>
        </w:rPr>
        <w:t xml:space="preserve"> are likely to </w:t>
      </w:r>
      <w:r w:rsidR="00C05C8F" w:rsidRPr="00E12CEA">
        <w:rPr>
          <w:rFonts w:ascii="Times New Roman" w:hAnsi="Times New Roman" w:cs="Times New Roman"/>
          <w:sz w:val="24"/>
          <w:szCs w:val="24"/>
        </w:rPr>
        <w:t>be constrained, as could</w:t>
      </w:r>
      <w:r w:rsidR="00E225DF" w:rsidRPr="00E12CEA">
        <w:rPr>
          <w:rFonts w:ascii="Times New Roman" w:hAnsi="Times New Roman" w:cs="Times New Roman"/>
          <w:sz w:val="24"/>
          <w:szCs w:val="24"/>
        </w:rPr>
        <w:t xml:space="preserve"> European bilateral aid</w:t>
      </w:r>
      <w:r w:rsidR="009F107A">
        <w:rPr>
          <w:rFonts w:ascii="Times New Roman" w:hAnsi="Times New Roman" w:cs="Times New Roman"/>
          <w:sz w:val="24"/>
          <w:szCs w:val="24"/>
        </w:rPr>
        <w:t xml:space="preserve">, </w:t>
      </w:r>
      <w:r w:rsidR="00F95A02" w:rsidRPr="00E12CEA">
        <w:rPr>
          <w:rFonts w:ascii="Times New Roman" w:hAnsi="Times New Roman" w:cs="Times New Roman"/>
          <w:sz w:val="24"/>
          <w:szCs w:val="24"/>
        </w:rPr>
        <w:t xml:space="preserve">with the </w:t>
      </w:r>
      <w:r w:rsidR="009F107A">
        <w:rPr>
          <w:rFonts w:ascii="Times New Roman" w:hAnsi="Times New Roman" w:cs="Times New Roman"/>
          <w:sz w:val="24"/>
          <w:szCs w:val="24"/>
        </w:rPr>
        <w:t xml:space="preserve">exception of the </w:t>
      </w:r>
      <w:r w:rsidR="00F95A02" w:rsidRPr="00E12CEA">
        <w:rPr>
          <w:rFonts w:ascii="Times New Roman" w:hAnsi="Times New Roman" w:cs="Times New Roman"/>
          <w:sz w:val="24"/>
          <w:szCs w:val="24"/>
        </w:rPr>
        <w:t>UK</w:t>
      </w:r>
      <w:r w:rsidR="00E225DF" w:rsidRPr="00E12CEA">
        <w:rPr>
          <w:rFonts w:ascii="Times New Roman" w:hAnsi="Times New Roman" w:cs="Times New Roman"/>
          <w:sz w:val="24"/>
          <w:szCs w:val="24"/>
        </w:rPr>
        <w:t xml:space="preserve">. </w:t>
      </w:r>
      <w:r w:rsidR="009F107A">
        <w:rPr>
          <w:rFonts w:ascii="Times New Roman" w:hAnsi="Times New Roman" w:cs="Times New Roman"/>
          <w:sz w:val="24"/>
          <w:szCs w:val="24"/>
        </w:rPr>
        <w:t xml:space="preserve">In this context </w:t>
      </w:r>
      <w:r w:rsidR="00513E6D" w:rsidRPr="00E12CEA">
        <w:rPr>
          <w:rFonts w:ascii="Times New Roman" w:hAnsi="Times New Roman" w:cs="Times New Roman"/>
          <w:sz w:val="24"/>
          <w:szCs w:val="24"/>
        </w:rPr>
        <w:t xml:space="preserve">it is essential </w:t>
      </w:r>
      <w:r w:rsidR="00F95A02" w:rsidRPr="00E12CEA">
        <w:rPr>
          <w:rFonts w:ascii="Times New Roman" w:hAnsi="Times New Roman" w:cs="Times New Roman"/>
          <w:sz w:val="24"/>
          <w:szCs w:val="24"/>
        </w:rPr>
        <w:t xml:space="preserve">that developed countries </w:t>
      </w:r>
      <w:r w:rsidR="00513E6D" w:rsidRPr="00E12CEA">
        <w:rPr>
          <w:rFonts w:ascii="Times New Roman" w:hAnsi="Times New Roman" w:cs="Times New Roman"/>
          <w:sz w:val="24"/>
          <w:szCs w:val="24"/>
        </w:rPr>
        <w:t xml:space="preserve">at least </w:t>
      </w:r>
      <w:r w:rsidR="00F95A02" w:rsidRPr="00E12CEA">
        <w:rPr>
          <w:rFonts w:ascii="Times New Roman" w:hAnsi="Times New Roman" w:cs="Times New Roman"/>
          <w:sz w:val="24"/>
          <w:szCs w:val="24"/>
        </w:rPr>
        <w:t>maintain</w:t>
      </w:r>
      <w:r w:rsidR="00C03201" w:rsidRPr="00E12CEA">
        <w:rPr>
          <w:rFonts w:ascii="Times New Roman" w:hAnsi="Times New Roman" w:cs="Times New Roman"/>
          <w:sz w:val="24"/>
          <w:szCs w:val="24"/>
        </w:rPr>
        <w:t xml:space="preserve"> </w:t>
      </w:r>
      <w:r w:rsidR="009F107A">
        <w:rPr>
          <w:rFonts w:ascii="Times New Roman" w:hAnsi="Times New Roman" w:cs="Times New Roman"/>
          <w:sz w:val="24"/>
          <w:szCs w:val="24"/>
        </w:rPr>
        <w:t>–</w:t>
      </w:r>
      <w:r w:rsidR="00C03201" w:rsidRPr="00E12CEA">
        <w:rPr>
          <w:rFonts w:ascii="Times New Roman" w:hAnsi="Times New Roman" w:cs="Times New Roman"/>
          <w:sz w:val="24"/>
          <w:szCs w:val="24"/>
        </w:rPr>
        <w:t xml:space="preserve"> </w:t>
      </w:r>
      <w:r w:rsidR="009F107A">
        <w:rPr>
          <w:rFonts w:ascii="Times New Roman" w:hAnsi="Times New Roman" w:cs="Times New Roman"/>
          <w:sz w:val="24"/>
          <w:szCs w:val="24"/>
        </w:rPr>
        <w:t xml:space="preserve">and optimally </w:t>
      </w:r>
      <w:r w:rsidR="00513E6D" w:rsidRPr="00E12CEA">
        <w:rPr>
          <w:rFonts w:ascii="Times New Roman" w:hAnsi="Times New Roman" w:cs="Times New Roman"/>
          <w:sz w:val="24"/>
          <w:szCs w:val="24"/>
        </w:rPr>
        <w:t>increase</w:t>
      </w:r>
      <w:r w:rsidR="00C03201" w:rsidRPr="00E12CEA">
        <w:rPr>
          <w:rFonts w:ascii="Times New Roman" w:hAnsi="Times New Roman" w:cs="Times New Roman"/>
          <w:sz w:val="24"/>
          <w:szCs w:val="24"/>
        </w:rPr>
        <w:t xml:space="preserve"> </w:t>
      </w:r>
      <w:r w:rsidR="00513E6D" w:rsidRPr="00E12CEA">
        <w:rPr>
          <w:rFonts w:ascii="Times New Roman" w:hAnsi="Times New Roman" w:cs="Times New Roman"/>
          <w:sz w:val="24"/>
          <w:szCs w:val="24"/>
        </w:rPr>
        <w:t>-</w:t>
      </w:r>
      <w:r w:rsidR="00F95A02" w:rsidRPr="00E12CEA">
        <w:rPr>
          <w:rFonts w:ascii="Times New Roman" w:hAnsi="Times New Roman" w:cs="Times New Roman"/>
          <w:sz w:val="24"/>
          <w:szCs w:val="24"/>
        </w:rPr>
        <w:t xml:space="preserve"> their</w:t>
      </w:r>
      <w:r w:rsidR="00513E6D" w:rsidRPr="00E12CEA">
        <w:rPr>
          <w:rFonts w:ascii="Times New Roman" w:hAnsi="Times New Roman" w:cs="Times New Roman"/>
          <w:sz w:val="24"/>
          <w:szCs w:val="24"/>
        </w:rPr>
        <w:t xml:space="preserve"> commitments to </w:t>
      </w:r>
      <w:r w:rsidR="00C03201" w:rsidRPr="00E12CEA">
        <w:rPr>
          <w:rFonts w:ascii="Times New Roman" w:hAnsi="Times New Roman" w:cs="Times New Roman"/>
          <w:sz w:val="24"/>
          <w:szCs w:val="24"/>
        </w:rPr>
        <w:t>supporting developing countries</w:t>
      </w:r>
      <w:r w:rsidR="009F107A">
        <w:rPr>
          <w:rFonts w:ascii="Times New Roman" w:hAnsi="Times New Roman" w:cs="Times New Roman"/>
          <w:sz w:val="24"/>
          <w:szCs w:val="24"/>
        </w:rPr>
        <w:t xml:space="preserve">, </w:t>
      </w:r>
      <w:r w:rsidR="00513E6D" w:rsidRPr="00E12CEA">
        <w:rPr>
          <w:rFonts w:ascii="Times New Roman" w:hAnsi="Times New Roman" w:cs="Times New Roman"/>
          <w:sz w:val="24"/>
          <w:szCs w:val="24"/>
        </w:rPr>
        <w:t>especially the poorest and most vulnera</w:t>
      </w:r>
      <w:r w:rsidR="00C03201" w:rsidRPr="00E12CEA">
        <w:rPr>
          <w:rFonts w:ascii="Times New Roman" w:hAnsi="Times New Roman" w:cs="Times New Roman"/>
          <w:sz w:val="24"/>
          <w:szCs w:val="24"/>
        </w:rPr>
        <w:t xml:space="preserve">ble </w:t>
      </w:r>
      <w:r w:rsidR="009F107A">
        <w:rPr>
          <w:rFonts w:ascii="Times New Roman" w:hAnsi="Times New Roman" w:cs="Times New Roman"/>
          <w:sz w:val="24"/>
          <w:szCs w:val="24"/>
        </w:rPr>
        <w:t>countries</w:t>
      </w:r>
      <w:r w:rsidR="00C03201" w:rsidRPr="00E12CEA">
        <w:rPr>
          <w:rFonts w:ascii="Times New Roman" w:hAnsi="Times New Roman" w:cs="Times New Roman"/>
          <w:sz w:val="24"/>
          <w:szCs w:val="24"/>
        </w:rPr>
        <w:t>,</w:t>
      </w:r>
      <w:r w:rsidR="003633EA" w:rsidRPr="00E12CEA">
        <w:rPr>
          <w:rFonts w:ascii="Times New Roman" w:hAnsi="Times New Roman" w:cs="Times New Roman"/>
          <w:sz w:val="24"/>
          <w:szCs w:val="24"/>
        </w:rPr>
        <w:t xml:space="preserve"> including to </w:t>
      </w:r>
      <w:r w:rsidR="003856ED" w:rsidRPr="00E12CEA">
        <w:rPr>
          <w:rFonts w:ascii="Times New Roman" w:hAnsi="Times New Roman" w:cs="Times New Roman"/>
          <w:sz w:val="24"/>
          <w:szCs w:val="24"/>
        </w:rPr>
        <w:t>shelter</w:t>
      </w:r>
      <w:r w:rsidR="003633EA" w:rsidRPr="00E12CEA">
        <w:rPr>
          <w:rFonts w:ascii="Times New Roman" w:hAnsi="Times New Roman" w:cs="Times New Roman"/>
          <w:sz w:val="24"/>
          <w:szCs w:val="24"/>
        </w:rPr>
        <w:t xml:space="preserve"> </w:t>
      </w:r>
      <w:r w:rsidR="00946D9D" w:rsidRPr="00E12CEA">
        <w:rPr>
          <w:rFonts w:ascii="Times New Roman" w:hAnsi="Times New Roman" w:cs="Times New Roman"/>
          <w:sz w:val="24"/>
          <w:szCs w:val="24"/>
        </w:rPr>
        <w:t xml:space="preserve">them from shocks which developed countries </w:t>
      </w:r>
      <w:r w:rsidR="00513E6D" w:rsidRPr="00E12CEA">
        <w:rPr>
          <w:rFonts w:ascii="Times New Roman" w:hAnsi="Times New Roman" w:cs="Times New Roman"/>
          <w:sz w:val="24"/>
          <w:szCs w:val="24"/>
        </w:rPr>
        <w:t>themselves may have caused</w:t>
      </w:r>
      <w:r w:rsidR="009F107A">
        <w:rPr>
          <w:rFonts w:ascii="Times New Roman" w:hAnsi="Times New Roman" w:cs="Times New Roman"/>
          <w:sz w:val="24"/>
          <w:szCs w:val="24"/>
        </w:rPr>
        <w:t xml:space="preserve">. Similarly there is a strengthening case for dynamic emerging markets to </w:t>
      </w:r>
      <w:r w:rsidR="00C46546" w:rsidRPr="00E12CEA">
        <w:rPr>
          <w:rFonts w:ascii="Times New Roman" w:hAnsi="Times New Roman" w:cs="Times New Roman"/>
          <w:sz w:val="24"/>
          <w:szCs w:val="24"/>
        </w:rPr>
        <w:t>channel greater resources</w:t>
      </w:r>
      <w:r w:rsidR="00C03201" w:rsidRPr="00E12CEA">
        <w:rPr>
          <w:rFonts w:ascii="Times New Roman" w:hAnsi="Times New Roman" w:cs="Times New Roman"/>
          <w:sz w:val="24"/>
          <w:szCs w:val="24"/>
        </w:rPr>
        <w:t xml:space="preserve"> </w:t>
      </w:r>
      <w:r w:rsidR="00C46546" w:rsidRPr="00E12CEA">
        <w:rPr>
          <w:rFonts w:ascii="Times New Roman" w:hAnsi="Times New Roman" w:cs="Times New Roman"/>
          <w:sz w:val="24"/>
          <w:szCs w:val="24"/>
        </w:rPr>
        <w:t>-</w:t>
      </w:r>
      <w:r w:rsidR="00C03201" w:rsidRPr="00E12CEA">
        <w:rPr>
          <w:rFonts w:ascii="Times New Roman" w:hAnsi="Times New Roman" w:cs="Times New Roman"/>
          <w:sz w:val="24"/>
          <w:szCs w:val="24"/>
        </w:rPr>
        <w:t xml:space="preserve"> </w:t>
      </w:r>
      <w:r w:rsidR="00C46546" w:rsidRPr="00E12CEA">
        <w:rPr>
          <w:rFonts w:ascii="Times New Roman" w:hAnsi="Times New Roman" w:cs="Times New Roman"/>
          <w:sz w:val="24"/>
          <w:szCs w:val="24"/>
        </w:rPr>
        <w:t>including for shocks facilities and more generally counter-cyclical support-to poorer and more vulnerable countries</w:t>
      </w:r>
      <w:r w:rsidR="009F107A">
        <w:rPr>
          <w:rFonts w:ascii="Times New Roman" w:hAnsi="Times New Roman" w:cs="Times New Roman"/>
          <w:sz w:val="24"/>
          <w:szCs w:val="24"/>
        </w:rPr>
        <w:t>.</w:t>
      </w:r>
      <w:r w:rsidR="009F107A" w:rsidRPr="00E12CEA" w:rsidDel="009F107A">
        <w:rPr>
          <w:rFonts w:ascii="Times New Roman" w:hAnsi="Times New Roman" w:cs="Times New Roman"/>
          <w:sz w:val="24"/>
          <w:szCs w:val="24"/>
        </w:rPr>
        <w:t xml:space="preserve"> </w:t>
      </w:r>
    </w:p>
    <w:p w:rsidR="00DE62D7" w:rsidRPr="00E12CEA" w:rsidRDefault="00DE62D7">
      <w:pPr>
        <w:spacing w:after="0" w:line="240" w:lineRule="auto"/>
        <w:jc w:val="both"/>
        <w:rPr>
          <w:rFonts w:ascii="Times New Roman" w:hAnsi="Times New Roman" w:cs="Times New Roman"/>
          <w:sz w:val="24"/>
          <w:szCs w:val="24"/>
        </w:rPr>
      </w:pPr>
    </w:p>
    <w:p w:rsidR="003633EA" w:rsidRPr="00E12CEA" w:rsidRDefault="00C57678" w:rsidP="00B04A17">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r w:rsidR="006F226E" w:rsidRPr="00E12CEA">
        <w:rPr>
          <w:rFonts w:ascii="Times New Roman" w:hAnsi="Times New Roman" w:cs="Times New Roman"/>
          <w:sz w:val="24"/>
          <w:szCs w:val="24"/>
        </w:rPr>
        <w:t>.</w:t>
      </w:r>
      <w:r w:rsidR="006F226E" w:rsidRPr="00E12CEA">
        <w:rPr>
          <w:rFonts w:ascii="Times New Roman" w:hAnsi="Times New Roman" w:cs="Times New Roman"/>
          <w:sz w:val="24"/>
          <w:szCs w:val="24"/>
        </w:rPr>
        <w:tab/>
      </w:r>
      <w:r w:rsidR="009F107A">
        <w:rPr>
          <w:rFonts w:ascii="Times New Roman" w:hAnsi="Times New Roman" w:cs="Times New Roman"/>
          <w:sz w:val="24"/>
          <w:szCs w:val="24"/>
        </w:rPr>
        <w:t xml:space="preserve">In conclusion, the poorest, smallest and most vulnerable developing countries, including many Commonwealth members, are increasingly vulnerable to external shocks. Allaying their vulnerability to these is crucial if they are to sustain growth and address their development objectives. Central to this effort is the availability of </w:t>
      </w:r>
      <w:r w:rsidR="00E225DF" w:rsidRPr="00E12CEA">
        <w:rPr>
          <w:rFonts w:ascii="Times New Roman" w:hAnsi="Times New Roman" w:cs="Times New Roman"/>
          <w:sz w:val="24"/>
          <w:szCs w:val="24"/>
        </w:rPr>
        <w:t>shocks financing</w:t>
      </w:r>
      <w:r w:rsidR="009F107A">
        <w:rPr>
          <w:rFonts w:ascii="Times New Roman" w:hAnsi="Times New Roman" w:cs="Times New Roman"/>
          <w:sz w:val="24"/>
          <w:szCs w:val="24"/>
        </w:rPr>
        <w:t xml:space="preserve">, </w:t>
      </w:r>
      <w:r w:rsidR="00C26832" w:rsidRPr="00E12CEA">
        <w:rPr>
          <w:rFonts w:ascii="Times New Roman" w:hAnsi="Times New Roman" w:cs="Times New Roman"/>
          <w:sz w:val="24"/>
          <w:szCs w:val="24"/>
        </w:rPr>
        <w:t xml:space="preserve">both for liquidity needs </w:t>
      </w:r>
      <w:r w:rsidR="00DC4F53" w:rsidRPr="00E12CEA">
        <w:rPr>
          <w:rFonts w:ascii="Times New Roman" w:hAnsi="Times New Roman" w:cs="Times New Roman"/>
          <w:sz w:val="24"/>
          <w:szCs w:val="24"/>
        </w:rPr>
        <w:t>and</w:t>
      </w:r>
      <w:r w:rsidR="00C26832" w:rsidRPr="00E12CEA">
        <w:rPr>
          <w:rFonts w:ascii="Times New Roman" w:hAnsi="Times New Roman" w:cs="Times New Roman"/>
          <w:sz w:val="24"/>
          <w:szCs w:val="24"/>
        </w:rPr>
        <w:t xml:space="preserve"> for long</w:t>
      </w:r>
      <w:r w:rsidR="00DC4F53" w:rsidRPr="00E12CEA">
        <w:rPr>
          <w:rFonts w:ascii="Times New Roman" w:hAnsi="Times New Roman" w:cs="Times New Roman"/>
          <w:sz w:val="24"/>
          <w:szCs w:val="24"/>
        </w:rPr>
        <w:t xml:space="preserve"> term development finance, the latter</w:t>
      </w:r>
      <w:r w:rsidR="00C26832" w:rsidRPr="00E12CEA">
        <w:rPr>
          <w:rFonts w:ascii="Times New Roman" w:hAnsi="Times New Roman" w:cs="Times New Roman"/>
          <w:sz w:val="24"/>
          <w:szCs w:val="24"/>
        </w:rPr>
        <w:t xml:space="preserve"> to maintain </w:t>
      </w:r>
      <w:r w:rsidR="00946D9D" w:rsidRPr="00E12CEA">
        <w:rPr>
          <w:rFonts w:ascii="Times New Roman" w:hAnsi="Times New Roman" w:cs="Times New Roman"/>
          <w:sz w:val="24"/>
          <w:szCs w:val="24"/>
        </w:rPr>
        <w:t xml:space="preserve">developmentally </w:t>
      </w:r>
      <w:r w:rsidR="00C26832" w:rsidRPr="00E12CEA">
        <w:rPr>
          <w:rFonts w:ascii="Times New Roman" w:hAnsi="Times New Roman" w:cs="Times New Roman"/>
          <w:sz w:val="24"/>
          <w:szCs w:val="24"/>
        </w:rPr>
        <w:t>critical investment expenditure</w:t>
      </w:r>
      <w:r w:rsidR="009F107A">
        <w:rPr>
          <w:rFonts w:ascii="Times New Roman" w:hAnsi="Times New Roman" w:cs="Times New Roman"/>
          <w:sz w:val="24"/>
          <w:szCs w:val="24"/>
        </w:rPr>
        <w:t>. An urgent objective for the international community is to ensure that these facilities become b</w:t>
      </w:r>
      <w:r w:rsidR="00DC4F53" w:rsidRPr="00E12CEA">
        <w:rPr>
          <w:rFonts w:ascii="Times New Roman" w:hAnsi="Times New Roman" w:cs="Times New Roman"/>
          <w:sz w:val="24"/>
          <w:szCs w:val="24"/>
        </w:rPr>
        <w:t xml:space="preserve">oth </w:t>
      </w:r>
      <w:r w:rsidR="00C26832" w:rsidRPr="00E12CEA">
        <w:rPr>
          <w:rFonts w:ascii="Times New Roman" w:hAnsi="Times New Roman" w:cs="Times New Roman"/>
          <w:sz w:val="24"/>
          <w:szCs w:val="24"/>
        </w:rPr>
        <w:t xml:space="preserve">sufficiently large in proportion to the scale of the shocks, </w:t>
      </w:r>
      <w:r w:rsidR="00C03201" w:rsidRPr="00E12CEA">
        <w:rPr>
          <w:rFonts w:ascii="Times New Roman" w:hAnsi="Times New Roman" w:cs="Times New Roman"/>
          <w:sz w:val="24"/>
          <w:szCs w:val="24"/>
        </w:rPr>
        <w:t>and</w:t>
      </w:r>
      <w:r w:rsidR="00C26832" w:rsidRPr="00E12CEA">
        <w:rPr>
          <w:rFonts w:ascii="Times New Roman" w:hAnsi="Times New Roman" w:cs="Times New Roman"/>
          <w:sz w:val="24"/>
          <w:szCs w:val="24"/>
        </w:rPr>
        <w:t xml:space="preserve"> </w:t>
      </w:r>
      <w:r w:rsidR="009F107A">
        <w:rPr>
          <w:rFonts w:ascii="Times New Roman" w:hAnsi="Times New Roman" w:cs="Times New Roman"/>
          <w:sz w:val="24"/>
          <w:szCs w:val="24"/>
        </w:rPr>
        <w:t>are</w:t>
      </w:r>
      <w:r w:rsidR="00C26832" w:rsidRPr="00E12CEA">
        <w:rPr>
          <w:rFonts w:ascii="Times New Roman" w:hAnsi="Times New Roman" w:cs="Times New Roman"/>
          <w:sz w:val="24"/>
          <w:szCs w:val="24"/>
        </w:rPr>
        <w:t xml:space="preserve"> also </w:t>
      </w:r>
      <w:r w:rsidR="00E225DF" w:rsidRPr="00E12CEA">
        <w:rPr>
          <w:rFonts w:ascii="Times New Roman" w:hAnsi="Times New Roman" w:cs="Times New Roman"/>
          <w:sz w:val="24"/>
          <w:szCs w:val="24"/>
        </w:rPr>
        <w:t xml:space="preserve">disbursed in a speedy, low conditional manner, </w:t>
      </w:r>
      <w:r w:rsidR="009F107A">
        <w:rPr>
          <w:rFonts w:ascii="Times New Roman" w:hAnsi="Times New Roman" w:cs="Times New Roman"/>
          <w:sz w:val="24"/>
          <w:szCs w:val="24"/>
        </w:rPr>
        <w:t>to enable these facilities to</w:t>
      </w:r>
      <w:r w:rsidR="00E225DF" w:rsidRPr="00E12CEA">
        <w:rPr>
          <w:rFonts w:ascii="Times New Roman" w:hAnsi="Times New Roman" w:cs="Times New Roman"/>
          <w:sz w:val="24"/>
          <w:szCs w:val="24"/>
        </w:rPr>
        <w:t xml:space="preserve"> fully play </w:t>
      </w:r>
      <w:r w:rsidR="009F107A">
        <w:rPr>
          <w:rFonts w:ascii="Times New Roman" w:hAnsi="Times New Roman" w:cs="Times New Roman"/>
          <w:sz w:val="24"/>
          <w:szCs w:val="24"/>
        </w:rPr>
        <w:t>their</w:t>
      </w:r>
      <w:r w:rsidR="00E225DF" w:rsidRPr="00E12CEA">
        <w:rPr>
          <w:rFonts w:ascii="Times New Roman" w:hAnsi="Times New Roman" w:cs="Times New Roman"/>
          <w:sz w:val="24"/>
          <w:szCs w:val="24"/>
        </w:rPr>
        <w:t xml:space="preserve"> key counter-cyclical role. </w:t>
      </w:r>
      <w:r w:rsidR="006B7AE7">
        <w:rPr>
          <w:rFonts w:ascii="Times New Roman" w:hAnsi="Times New Roman" w:cs="Times New Roman"/>
          <w:sz w:val="24"/>
          <w:szCs w:val="24"/>
        </w:rPr>
        <w:t>While</w:t>
      </w:r>
      <w:r w:rsidR="00DC4F53" w:rsidRPr="00E12CEA">
        <w:rPr>
          <w:rFonts w:ascii="Times New Roman" w:hAnsi="Times New Roman" w:cs="Times New Roman"/>
          <w:sz w:val="24"/>
          <w:szCs w:val="24"/>
        </w:rPr>
        <w:t xml:space="preserve"> expanding general official lending in the face of major shocks is also very valuable as a complement to shocks facilities (as was do</w:t>
      </w:r>
      <w:r w:rsidR="00C03201" w:rsidRPr="00E12CEA">
        <w:rPr>
          <w:rFonts w:ascii="Times New Roman" w:hAnsi="Times New Roman" w:cs="Times New Roman"/>
          <w:sz w:val="24"/>
          <w:szCs w:val="24"/>
        </w:rPr>
        <w:t>ne in the 2007-2010 period), it</w:t>
      </w:r>
      <w:r w:rsidR="008F1576" w:rsidRPr="00E12CEA">
        <w:rPr>
          <w:rFonts w:ascii="Times New Roman" w:hAnsi="Times New Roman" w:cs="Times New Roman"/>
          <w:sz w:val="24"/>
          <w:szCs w:val="24"/>
        </w:rPr>
        <w:t xml:space="preserve"> is slower</w:t>
      </w:r>
      <w:r w:rsidR="00946D9D" w:rsidRPr="00E12CEA">
        <w:rPr>
          <w:rFonts w:ascii="Times New Roman" w:hAnsi="Times New Roman" w:cs="Times New Roman"/>
          <w:sz w:val="24"/>
          <w:szCs w:val="24"/>
        </w:rPr>
        <w:t>, especially as regards disbursements</w:t>
      </w:r>
      <w:r w:rsidR="008F1576" w:rsidRPr="00E12CEA">
        <w:rPr>
          <w:rFonts w:ascii="Times New Roman" w:hAnsi="Times New Roman" w:cs="Times New Roman"/>
          <w:sz w:val="24"/>
          <w:szCs w:val="24"/>
        </w:rPr>
        <w:t xml:space="preserve">; </w:t>
      </w:r>
      <w:r w:rsidR="00391DBC">
        <w:rPr>
          <w:rFonts w:ascii="Times New Roman" w:hAnsi="Times New Roman" w:cs="Times New Roman"/>
          <w:sz w:val="24"/>
          <w:szCs w:val="24"/>
        </w:rPr>
        <w:t>and there is now a much stronger case to s</w:t>
      </w:r>
      <w:r w:rsidR="00DC4F53" w:rsidRPr="00E12CEA">
        <w:rPr>
          <w:rFonts w:ascii="Times New Roman" w:hAnsi="Times New Roman" w:cs="Times New Roman"/>
          <w:sz w:val="24"/>
          <w:szCs w:val="24"/>
        </w:rPr>
        <w:t>hift a greater proportion of official resour</w:t>
      </w:r>
      <w:r w:rsidR="004B1553" w:rsidRPr="00E12CEA">
        <w:rPr>
          <w:rFonts w:ascii="Times New Roman" w:hAnsi="Times New Roman" w:cs="Times New Roman"/>
          <w:sz w:val="24"/>
          <w:szCs w:val="24"/>
        </w:rPr>
        <w:t>ces towards shocks facilities. A</w:t>
      </w:r>
      <w:r w:rsidR="003633EA" w:rsidRPr="00E12CEA">
        <w:rPr>
          <w:rFonts w:ascii="Times New Roman" w:hAnsi="Times New Roman" w:cs="Times New Roman"/>
          <w:sz w:val="24"/>
          <w:szCs w:val="24"/>
        </w:rPr>
        <w:t xml:space="preserve"> review </w:t>
      </w:r>
      <w:r w:rsidR="00391DBC">
        <w:rPr>
          <w:rFonts w:ascii="Times New Roman" w:hAnsi="Times New Roman" w:cs="Times New Roman"/>
          <w:sz w:val="24"/>
          <w:szCs w:val="24"/>
        </w:rPr>
        <w:t xml:space="preserve">of </w:t>
      </w:r>
      <w:r w:rsidR="003633EA" w:rsidRPr="00E12CEA">
        <w:rPr>
          <w:rFonts w:ascii="Times New Roman" w:hAnsi="Times New Roman" w:cs="Times New Roman"/>
          <w:sz w:val="24"/>
          <w:szCs w:val="24"/>
        </w:rPr>
        <w:t>existing facilities, with the view to establish a</w:t>
      </w:r>
      <w:r w:rsidR="004B1553" w:rsidRPr="00E12CEA">
        <w:rPr>
          <w:rFonts w:ascii="Times New Roman" w:hAnsi="Times New Roman" w:cs="Times New Roman"/>
          <w:sz w:val="24"/>
          <w:szCs w:val="24"/>
        </w:rPr>
        <w:t xml:space="preserve"> </w:t>
      </w:r>
      <w:r w:rsidR="003633EA" w:rsidRPr="00E12CEA">
        <w:rPr>
          <w:rFonts w:ascii="Times New Roman" w:hAnsi="Times New Roman" w:cs="Times New Roman"/>
          <w:sz w:val="24"/>
          <w:szCs w:val="24"/>
        </w:rPr>
        <w:t xml:space="preserve">more permanent, </w:t>
      </w:r>
      <w:r w:rsidR="004B1553" w:rsidRPr="00E12CEA">
        <w:rPr>
          <w:rFonts w:ascii="Times New Roman" w:hAnsi="Times New Roman" w:cs="Times New Roman"/>
          <w:sz w:val="24"/>
          <w:szCs w:val="24"/>
        </w:rPr>
        <w:t xml:space="preserve">coordinated, </w:t>
      </w:r>
      <w:r w:rsidR="003633EA" w:rsidRPr="00E12CEA">
        <w:rPr>
          <w:rFonts w:ascii="Times New Roman" w:hAnsi="Times New Roman" w:cs="Times New Roman"/>
          <w:sz w:val="24"/>
          <w:szCs w:val="24"/>
        </w:rPr>
        <w:t>and financially sustainable, shocks architecture</w:t>
      </w:r>
      <w:r w:rsidR="00391DBC">
        <w:rPr>
          <w:rFonts w:ascii="Times New Roman" w:hAnsi="Times New Roman" w:cs="Times New Roman"/>
          <w:sz w:val="24"/>
          <w:szCs w:val="24"/>
        </w:rPr>
        <w:t xml:space="preserve"> has also become particularly urgent</w:t>
      </w:r>
      <w:r w:rsidR="003633EA" w:rsidRPr="00E12CEA">
        <w:rPr>
          <w:rFonts w:ascii="Times New Roman" w:hAnsi="Times New Roman" w:cs="Times New Roman"/>
          <w:sz w:val="24"/>
          <w:szCs w:val="24"/>
        </w:rPr>
        <w:t xml:space="preserve">. </w:t>
      </w:r>
      <w:r w:rsidR="008F1576" w:rsidRPr="00E12CEA">
        <w:rPr>
          <w:rFonts w:ascii="Times New Roman" w:hAnsi="Times New Roman" w:cs="Times New Roman"/>
          <w:sz w:val="24"/>
          <w:szCs w:val="24"/>
        </w:rPr>
        <w:t xml:space="preserve">Doing this, and providing the resources to fund </w:t>
      </w:r>
      <w:r w:rsidR="006F4B5C" w:rsidRPr="00E12CEA">
        <w:rPr>
          <w:rFonts w:ascii="Times New Roman" w:hAnsi="Times New Roman" w:cs="Times New Roman"/>
          <w:sz w:val="24"/>
          <w:szCs w:val="24"/>
        </w:rPr>
        <w:t>it</w:t>
      </w:r>
      <w:r w:rsidR="008F1576" w:rsidRPr="00E12CEA">
        <w:rPr>
          <w:rFonts w:ascii="Times New Roman" w:hAnsi="Times New Roman" w:cs="Times New Roman"/>
          <w:sz w:val="24"/>
          <w:szCs w:val="24"/>
        </w:rPr>
        <w:t xml:space="preserve">, </w:t>
      </w:r>
      <w:r w:rsidR="00401D93" w:rsidRPr="00E12CEA">
        <w:rPr>
          <w:rFonts w:ascii="Times New Roman" w:hAnsi="Times New Roman" w:cs="Times New Roman"/>
          <w:sz w:val="24"/>
          <w:szCs w:val="24"/>
        </w:rPr>
        <w:t xml:space="preserve">is </w:t>
      </w:r>
      <w:r w:rsidR="004B1553" w:rsidRPr="00E12CEA">
        <w:rPr>
          <w:rFonts w:ascii="Times New Roman" w:hAnsi="Times New Roman" w:cs="Times New Roman"/>
          <w:sz w:val="24"/>
          <w:szCs w:val="24"/>
        </w:rPr>
        <w:t>urgent as the world economic environment could deteriorate significantly soon</w:t>
      </w:r>
      <w:r w:rsidR="00A5574E" w:rsidRPr="00E12CEA">
        <w:rPr>
          <w:rFonts w:ascii="Times New Roman" w:hAnsi="Times New Roman" w:cs="Times New Roman"/>
          <w:sz w:val="24"/>
          <w:szCs w:val="24"/>
        </w:rPr>
        <w:t xml:space="preserve"> and undermine development achievements and poverty reduction in developing countries</w:t>
      </w:r>
      <w:r w:rsidR="004B1553" w:rsidRPr="00E12CEA">
        <w:rPr>
          <w:rFonts w:ascii="Times New Roman" w:hAnsi="Times New Roman" w:cs="Times New Roman"/>
          <w:sz w:val="24"/>
          <w:szCs w:val="24"/>
        </w:rPr>
        <w:t>.</w:t>
      </w:r>
    </w:p>
    <w:p w:rsidR="00E225DF" w:rsidRDefault="00BC5466">
      <w:pPr>
        <w:spacing w:after="0" w:line="240" w:lineRule="auto"/>
        <w:rPr>
          <w:rFonts w:ascii="Times New Roman" w:hAnsi="Times New Roman" w:cs="Times New Roman"/>
          <w:b/>
          <w:sz w:val="24"/>
          <w:szCs w:val="24"/>
        </w:rPr>
      </w:pPr>
      <w:r w:rsidRPr="00E12CEA">
        <w:rPr>
          <w:rFonts w:ascii="Times New Roman" w:hAnsi="Times New Roman" w:cs="Times New Roman"/>
          <w:sz w:val="24"/>
          <w:szCs w:val="24"/>
        </w:rPr>
        <w:br w:type="page"/>
      </w:r>
      <w:r w:rsidR="003D0EE7" w:rsidRPr="00851339">
        <w:rPr>
          <w:rFonts w:ascii="Times New Roman" w:hAnsi="Times New Roman" w:cs="Times New Roman"/>
          <w:b/>
          <w:sz w:val="24"/>
          <w:szCs w:val="24"/>
        </w:rPr>
        <w:lastRenderedPageBreak/>
        <w:t>R</w:t>
      </w:r>
      <w:r w:rsidR="000B36D1" w:rsidRPr="00851339">
        <w:rPr>
          <w:rFonts w:ascii="Times New Roman" w:hAnsi="Times New Roman" w:cs="Times New Roman"/>
          <w:b/>
          <w:sz w:val="24"/>
          <w:szCs w:val="24"/>
        </w:rPr>
        <w:t>eferences</w:t>
      </w:r>
    </w:p>
    <w:p w:rsidR="00FF2013" w:rsidRPr="00851339" w:rsidRDefault="00FF2013">
      <w:pPr>
        <w:spacing w:after="0" w:line="240" w:lineRule="auto"/>
        <w:rPr>
          <w:rFonts w:ascii="Times New Roman" w:hAnsi="Times New Roman" w:cs="Times New Roman"/>
          <w:b/>
          <w:sz w:val="24"/>
          <w:szCs w:val="24"/>
        </w:rPr>
      </w:pPr>
    </w:p>
    <w:p w:rsidR="00FE3B85" w:rsidRPr="00B04A17" w:rsidRDefault="00FE3B85" w:rsidP="00B04A17">
      <w:pPr>
        <w:spacing w:after="0" w:line="240" w:lineRule="auto"/>
        <w:jc w:val="both"/>
        <w:rPr>
          <w:rFonts w:ascii="Times New Roman" w:hAnsi="Times New Roman" w:cs="Times New Roman"/>
          <w:sz w:val="24"/>
          <w:szCs w:val="24"/>
          <w:lang w:val="it-IT"/>
        </w:rPr>
      </w:pPr>
      <w:r w:rsidRPr="00B04A17">
        <w:rPr>
          <w:rFonts w:ascii="Times New Roman" w:hAnsi="Times New Roman" w:cs="Times New Roman"/>
          <w:sz w:val="24"/>
          <w:szCs w:val="24"/>
        </w:rPr>
        <w:t xml:space="preserve">Aiello, F. </w:t>
      </w:r>
      <w:r w:rsidR="007C4CB9" w:rsidRPr="00B04A17">
        <w:rPr>
          <w:rFonts w:ascii="Times New Roman" w:hAnsi="Times New Roman" w:cs="Times New Roman"/>
          <w:sz w:val="24"/>
          <w:szCs w:val="24"/>
        </w:rPr>
        <w:t>(2009)</w:t>
      </w:r>
      <w:r w:rsidRPr="00B04A17">
        <w:rPr>
          <w:rFonts w:ascii="Times New Roman" w:hAnsi="Times New Roman" w:cs="Times New Roman"/>
          <w:sz w:val="24"/>
          <w:szCs w:val="24"/>
        </w:rPr>
        <w:t xml:space="preserve"> </w:t>
      </w:r>
      <w:r w:rsidR="00015367" w:rsidRPr="00B04A17">
        <w:rPr>
          <w:rFonts w:ascii="Times New Roman" w:hAnsi="Times New Roman" w:cs="Times New Roman"/>
          <w:sz w:val="24"/>
          <w:szCs w:val="24"/>
        </w:rPr>
        <w:t>“</w:t>
      </w:r>
      <w:r w:rsidRPr="00B04A17">
        <w:rPr>
          <w:rFonts w:ascii="Times New Roman" w:hAnsi="Times New Roman" w:cs="Times New Roman"/>
          <w:sz w:val="24"/>
          <w:szCs w:val="24"/>
        </w:rPr>
        <w:t>Experiences with traditional compensatory finance schemes and lessons from flex.</w:t>
      </w:r>
      <w:r w:rsidR="00015367" w:rsidRPr="00B04A17">
        <w:rPr>
          <w:rFonts w:ascii="Times New Roman" w:hAnsi="Times New Roman" w:cs="Times New Roman"/>
          <w:sz w:val="24"/>
          <w:szCs w:val="24"/>
        </w:rPr>
        <w:t>”</w:t>
      </w:r>
      <w:r w:rsidRPr="00B04A17">
        <w:rPr>
          <w:rFonts w:ascii="Times New Roman" w:hAnsi="Times New Roman" w:cs="Times New Roman"/>
          <w:sz w:val="24"/>
          <w:szCs w:val="24"/>
        </w:rPr>
        <w:t xml:space="preserve"> </w:t>
      </w:r>
      <w:r w:rsidRPr="00B04A17">
        <w:rPr>
          <w:rFonts w:ascii="Times New Roman" w:hAnsi="Times New Roman" w:cs="Times New Roman"/>
          <w:sz w:val="24"/>
          <w:szCs w:val="24"/>
          <w:lang w:val="it-IT"/>
        </w:rPr>
        <w:t>Working Paper n. 12 – 2009. Dipartimento di Economia and Statistica, Università della Calabria.</w:t>
      </w:r>
    </w:p>
    <w:p w:rsidR="00FE3B85" w:rsidRPr="00B04A17" w:rsidRDefault="00FE3B85" w:rsidP="00B04A17">
      <w:pPr>
        <w:spacing w:after="0" w:line="240" w:lineRule="auto"/>
        <w:ind w:left="284" w:hanging="284"/>
        <w:jc w:val="both"/>
        <w:rPr>
          <w:rFonts w:ascii="Times New Roman" w:hAnsi="Times New Roman" w:cs="Times New Roman"/>
          <w:sz w:val="24"/>
          <w:szCs w:val="24"/>
        </w:rPr>
      </w:pPr>
    </w:p>
    <w:p w:rsidR="00FE3B85" w:rsidRPr="00B04A17" w:rsidRDefault="00FE3B85"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Goreux, L.M.(1980) “Compensatory Financing Facility”. Pamphlet series No 34. IMF.</w:t>
      </w:r>
      <w:r w:rsidR="0099260D">
        <w:rPr>
          <w:rFonts w:ascii="Times New Roman" w:hAnsi="Times New Roman" w:cs="Times New Roman"/>
          <w:sz w:val="24"/>
          <w:szCs w:val="24"/>
        </w:rPr>
        <w:t xml:space="preserve"> </w:t>
      </w:r>
      <w:r w:rsidRPr="00B04A17">
        <w:rPr>
          <w:rFonts w:ascii="Times New Roman" w:hAnsi="Times New Roman" w:cs="Times New Roman"/>
          <w:sz w:val="24"/>
          <w:szCs w:val="24"/>
        </w:rPr>
        <w:t>Washington DC.</w:t>
      </w:r>
    </w:p>
    <w:p w:rsidR="00FE3B85" w:rsidRPr="00B04A17" w:rsidRDefault="00FE3B85" w:rsidP="00B04A17">
      <w:pPr>
        <w:spacing w:after="0" w:line="240" w:lineRule="auto"/>
        <w:ind w:left="284" w:hanging="284"/>
        <w:jc w:val="both"/>
        <w:rPr>
          <w:rFonts w:ascii="Times New Roman" w:hAnsi="Times New Roman" w:cs="Times New Roman"/>
          <w:sz w:val="24"/>
          <w:szCs w:val="24"/>
          <w:lang w:val="it-IT"/>
        </w:rPr>
      </w:pPr>
    </w:p>
    <w:p w:rsidR="002D7CBA" w:rsidRPr="00B04A17" w:rsidRDefault="00401D93"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Griffith-Jones, S.</w:t>
      </w:r>
      <w:r w:rsidR="002D7CBA" w:rsidRPr="00B04A17">
        <w:rPr>
          <w:rFonts w:ascii="Times New Roman" w:hAnsi="Times New Roman" w:cs="Times New Roman"/>
          <w:sz w:val="24"/>
          <w:szCs w:val="24"/>
        </w:rPr>
        <w:t xml:space="preserve"> (2012) </w:t>
      </w:r>
      <w:r w:rsidR="00015367" w:rsidRPr="00B04A17">
        <w:rPr>
          <w:rFonts w:ascii="Times New Roman" w:hAnsi="Times New Roman" w:cs="Times New Roman"/>
          <w:sz w:val="24"/>
          <w:szCs w:val="24"/>
        </w:rPr>
        <w:t>“</w:t>
      </w:r>
      <w:r w:rsidR="002D7CBA" w:rsidRPr="00B04A17">
        <w:rPr>
          <w:rFonts w:ascii="Times New Roman" w:hAnsi="Times New Roman" w:cs="Times New Roman"/>
          <w:sz w:val="24"/>
          <w:szCs w:val="24"/>
        </w:rPr>
        <w:t>Analysis of instruments to help countries cope with unforeseen shocks; the case of the CCL</w:t>
      </w:r>
      <w:r w:rsidR="00015367" w:rsidRPr="00B04A17">
        <w:rPr>
          <w:rFonts w:ascii="Times New Roman" w:hAnsi="Times New Roman" w:cs="Times New Roman"/>
          <w:sz w:val="24"/>
          <w:szCs w:val="24"/>
        </w:rPr>
        <w:t>.”</w:t>
      </w:r>
      <w:r w:rsidR="00477645" w:rsidRPr="00B04A17">
        <w:rPr>
          <w:rFonts w:ascii="Times New Roman" w:hAnsi="Times New Roman" w:cs="Times New Roman"/>
          <w:b/>
          <w:sz w:val="24"/>
          <w:szCs w:val="24"/>
        </w:rPr>
        <w:t xml:space="preserve">, </w:t>
      </w:r>
      <w:r w:rsidR="002D7CBA" w:rsidRPr="00B04A17">
        <w:rPr>
          <w:rFonts w:ascii="Times New Roman" w:hAnsi="Times New Roman" w:cs="Times New Roman"/>
          <w:sz w:val="24"/>
          <w:szCs w:val="24"/>
        </w:rPr>
        <w:t>Paper prepared for the Commonwealth Secretariat</w:t>
      </w:r>
    </w:p>
    <w:p w:rsidR="008324FE" w:rsidRPr="00B04A17" w:rsidRDefault="008324FE"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http://stephanygj.net/papers/AnalysisProposalsInstrumentsHelpCountriesUnforeseenShocks2012.pdf</w:t>
      </w:r>
    </w:p>
    <w:p w:rsidR="00477645" w:rsidRPr="00B04A17" w:rsidRDefault="00477645" w:rsidP="00B04A17">
      <w:pPr>
        <w:spacing w:after="0" w:line="240" w:lineRule="auto"/>
        <w:jc w:val="both"/>
        <w:rPr>
          <w:rFonts w:ascii="Times New Roman" w:hAnsi="Times New Roman" w:cs="Times New Roman"/>
          <w:b/>
          <w:sz w:val="24"/>
          <w:szCs w:val="24"/>
        </w:rPr>
      </w:pPr>
    </w:p>
    <w:p w:rsidR="0099260D" w:rsidRDefault="002D7CBA" w:rsidP="00B04A17">
      <w:pPr>
        <w:pStyle w:val="Default"/>
        <w:jc w:val="both"/>
      </w:pPr>
      <w:r w:rsidRPr="00B04A17">
        <w:t>Griffith-Jones</w:t>
      </w:r>
      <w:r w:rsidR="00E84800" w:rsidRPr="00B04A17">
        <w:t xml:space="preserve">, S. and </w:t>
      </w:r>
      <w:r w:rsidRPr="00B04A17">
        <w:t>Tyson</w:t>
      </w:r>
      <w:r w:rsidR="00E84800" w:rsidRPr="00B04A17">
        <w:t xml:space="preserve">, J. </w:t>
      </w:r>
      <w:r w:rsidRPr="00B04A17">
        <w:t xml:space="preserve">(2010) </w:t>
      </w:r>
      <w:r w:rsidR="00015367" w:rsidRPr="00B04A17">
        <w:t>“</w:t>
      </w:r>
      <w:r w:rsidRPr="00B04A17">
        <w:t>Strengthening the International Financial Architecture: Establishment of an Automatic Shock Facility.</w:t>
      </w:r>
      <w:r w:rsidR="00015367" w:rsidRPr="00B04A17">
        <w:t>” Paper p</w:t>
      </w:r>
      <w:r w:rsidRPr="00B04A17">
        <w:t>repared for the Commonwealth Secretariat, September 2010.</w:t>
      </w:r>
      <w:r w:rsidR="00FA4865" w:rsidRPr="00B04A17">
        <w:t xml:space="preserve"> </w:t>
      </w:r>
    </w:p>
    <w:p w:rsidR="002D7CBA" w:rsidRPr="00B04A17" w:rsidRDefault="008E10B3" w:rsidP="00B04A17">
      <w:pPr>
        <w:pStyle w:val="Default"/>
        <w:jc w:val="both"/>
        <w:rPr>
          <w:rStyle w:val="Hyperlink"/>
        </w:rPr>
      </w:pPr>
      <w:hyperlink r:id="rId20" w:history="1">
        <w:r w:rsidR="002D7CBA" w:rsidRPr="00B04A17">
          <w:rPr>
            <w:rStyle w:val="Hyperlink"/>
          </w:rPr>
          <w:t>http://www.thecommonwealth.org/files/229890/FileName/StrengtheningtheInternationalFinancialArchitecture.pdf</w:t>
        </w:r>
      </w:hyperlink>
    </w:p>
    <w:p w:rsidR="00FA4865" w:rsidRPr="00B04A17" w:rsidRDefault="00FA4865" w:rsidP="00B04A17">
      <w:pPr>
        <w:pStyle w:val="Default"/>
        <w:jc w:val="both"/>
        <w:rPr>
          <w:color w:val="auto"/>
        </w:rPr>
      </w:pPr>
    </w:p>
    <w:p w:rsidR="00FE3B85" w:rsidRPr="00B04A17" w:rsidRDefault="00401D93" w:rsidP="00B04A17">
      <w:pPr>
        <w:spacing w:after="0" w:line="240" w:lineRule="auto"/>
        <w:jc w:val="both"/>
        <w:rPr>
          <w:rFonts w:ascii="Times New Roman" w:hAnsi="Times New Roman" w:cs="Times New Roman"/>
          <w:color w:val="1F497D"/>
          <w:sz w:val="24"/>
          <w:szCs w:val="24"/>
        </w:rPr>
      </w:pPr>
      <w:r w:rsidRPr="00B04A17">
        <w:rPr>
          <w:rFonts w:ascii="Times New Roman" w:hAnsi="Times New Roman" w:cs="Times New Roman"/>
          <w:sz w:val="24"/>
          <w:szCs w:val="24"/>
        </w:rPr>
        <w:t xml:space="preserve">Griffith-Jones S. and </w:t>
      </w:r>
      <w:r w:rsidR="00FE3B85" w:rsidRPr="00B04A17">
        <w:rPr>
          <w:rFonts w:ascii="Times New Roman" w:hAnsi="Times New Roman" w:cs="Times New Roman"/>
          <w:sz w:val="24"/>
          <w:szCs w:val="24"/>
        </w:rPr>
        <w:t>Ocampo J.A. (2008), “Compensatory Financing for Sho</w:t>
      </w:r>
      <w:r w:rsidR="002D7CBA" w:rsidRPr="00B04A17">
        <w:rPr>
          <w:rFonts w:ascii="Times New Roman" w:hAnsi="Times New Roman" w:cs="Times New Roman"/>
          <w:sz w:val="24"/>
          <w:szCs w:val="24"/>
        </w:rPr>
        <w:t xml:space="preserve">cks: What Changes are Needed?”, </w:t>
      </w:r>
      <w:r w:rsidR="00FE3B85" w:rsidRPr="00B04A17">
        <w:rPr>
          <w:rFonts w:ascii="Times New Roman" w:hAnsi="Times New Roman" w:cs="Times New Roman"/>
          <w:sz w:val="24"/>
          <w:szCs w:val="24"/>
        </w:rPr>
        <w:t xml:space="preserve">Paper prepared for the United Nations Committee on Development Policy. </w:t>
      </w:r>
      <w:hyperlink r:id="rId21" w:history="1">
        <w:r w:rsidR="00FE3B85" w:rsidRPr="00B04A17">
          <w:rPr>
            <w:rStyle w:val="Hyperlink"/>
            <w:rFonts w:ascii="Times New Roman" w:hAnsi="Times New Roman" w:cs="Times New Roman"/>
            <w:sz w:val="24"/>
            <w:szCs w:val="24"/>
          </w:rPr>
          <w:t>http://www.stephanygj.net/papers/Compensatory_Financing_JAO_SGJ_2008.pdf</w:t>
        </w:r>
      </w:hyperlink>
      <w:r w:rsidR="00FE3B85" w:rsidRPr="00B04A17">
        <w:rPr>
          <w:rFonts w:ascii="Times New Roman" w:hAnsi="Times New Roman" w:cs="Times New Roman"/>
          <w:color w:val="1F497D"/>
          <w:sz w:val="24"/>
          <w:szCs w:val="24"/>
        </w:rPr>
        <w:t xml:space="preserve"> </w:t>
      </w:r>
    </w:p>
    <w:p w:rsidR="002D7CBA" w:rsidRPr="00B04A17" w:rsidRDefault="002D7CBA" w:rsidP="00B04A17">
      <w:pPr>
        <w:spacing w:after="0" w:line="240" w:lineRule="auto"/>
        <w:jc w:val="both"/>
        <w:rPr>
          <w:rFonts w:ascii="Times New Roman" w:hAnsi="Times New Roman" w:cs="Times New Roman"/>
          <w:color w:val="1F497D"/>
          <w:sz w:val="24"/>
          <w:szCs w:val="24"/>
        </w:rPr>
      </w:pPr>
    </w:p>
    <w:p w:rsidR="0077140F" w:rsidRPr="00B04A17" w:rsidRDefault="0077140F" w:rsidP="00B04A17">
      <w:pPr>
        <w:pStyle w:val="Default"/>
        <w:jc w:val="both"/>
      </w:pPr>
      <w:r w:rsidRPr="00B04A17">
        <w:t xml:space="preserve">IMF (2012) </w:t>
      </w:r>
      <w:r w:rsidR="00015367" w:rsidRPr="00B04A17">
        <w:t>‘</w:t>
      </w:r>
      <w:r w:rsidRPr="00B04A17">
        <w:rPr>
          <w:bCs/>
        </w:rPr>
        <w:t>Update on the Financing of the Fund’s Concessional Assistance and Debt Relief to Low-Income Member Countries</w:t>
      </w:r>
      <w:r w:rsidR="00015367" w:rsidRPr="00B04A17">
        <w:rPr>
          <w:bCs/>
        </w:rPr>
        <w:t>’</w:t>
      </w:r>
      <w:r w:rsidR="00613E78" w:rsidRPr="00B04A17">
        <w:rPr>
          <w:bCs/>
        </w:rPr>
        <w:t>. April</w:t>
      </w:r>
      <w:r w:rsidR="00015367" w:rsidRPr="00B04A17">
        <w:rPr>
          <w:bCs/>
        </w:rPr>
        <w:t>.</w:t>
      </w:r>
    </w:p>
    <w:p w:rsidR="0077140F" w:rsidRPr="00B04A17" w:rsidRDefault="0077140F" w:rsidP="00B04A17">
      <w:pPr>
        <w:pStyle w:val="Default"/>
        <w:jc w:val="both"/>
        <w:rPr>
          <w:bCs/>
        </w:rPr>
      </w:pPr>
      <w:r w:rsidRPr="00B04A17">
        <w:rPr>
          <w:bCs/>
        </w:rPr>
        <w:t>http://www.imf.org/external/np/pp/eng/2012/043012.pdf</w:t>
      </w:r>
    </w:p>
    <w:p w:rsidR="0077140F" w:rsidRPr="00B04A17" w:rsidRDefault="0077140F" w:rsidP="00B04A17">
      <w:pPr>
        <w:pStyle w:val="Default"/>
        <w:jc w:val="both"/>
      </w:pP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(2012) ‘IMF Executive Board Concludes 2012 Article IV Consultation with Samoa’, Public Information Notice No. 12/66, June 29.</w:t>
      </w:r>
    </w:p>
    <w:p w:rsidR="0099260D" w:rsidRPr="00B04A17" w:rsidRDefault="0099260D" w:rsidP="00B04A17">
      <w:pPr>
        <w:spacing w:after="0" w:line="240" w:lineRule="auto"/>
        <w:jc w:val="both"/>
        <w:rPr>
          <w:rFonts w:ascii="Times New Roman" w:hAnsi="Times New Roman" w:cs="Times New Roman"/>
          <w:sz w:val="24"/>
          <w:szCs w:val="24"/>
        </w:rPr>
      </w:pP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(2012) ‘IMF Mission and Malawi Authorities Reach Staff-Level Understandings on a New ECF-Supported Program’, Press Release No. 12/205, June 6.</w:t>
      </w:r>
    </w:p>
    <w:p w:rsidR="0099260D" w:rsidRPr="00B04A17" w:rsidRDefault="0099260D" w:rsidP="00B04A17">
      <w:pPr>
        <w:spacing w:after="0" w:line="240" w:lineRule="auto"/>
        <w:jc w:val="both"/>
        <w:rPr>
          <w:rFonts w:ascii="Times New Roman" w:hAnsi="Times New Roman" w:cs="Times New Roman"/>
          <w:sz w:val="24"/>
          <w:szCs w:val="24"/>
        </w:rPr>
      </w:pP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(2012) ‘Mauritius: Staff Report for the 2012 Article IV Consultation’, IMF Country Report No 12/62, March.</w:t>
      </w:r>
    </w:p>
    <w:p w:rsidR="0099260D" w:rsidRPr="00B04A17" w:rsidRDefault="0099260D" w:rsidP="00B04A17">
      <w:pPr>
        <w:spacing w:after="0" w:line="240" w:lineRule="auto"/>
        <w:jc w:val="both"/>
        <w:rPr>
          <w:rFonts w:ascii="Times New Roman" w:hAnsi="Times New Roman" w:cs="Times New Roman"/>
          <w:sz w:val="24"/>
          <w:szCs w:val="24"/>
        </w:rPr>
      </w:pPr>
    </w:p>
    <w:p w:rsidR="00EC65F8"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(2012) ‘IMF Executive Board Approves US$ 3.1 Million Disbursement Under the Rapid Credit Facility for Dominica’, Press Release No. 12/5, January 11.</w:t>
      </w:r>
    </w:p>
    <w:p w:rsidR="0099260D" w:rsidRPr="00B04A17" w:rsidRDefault="0099260D" w:rsidP="00B04A17">
      <w:pPr>
        <w:spacing w:after="0" w:line="240" w:lineRule="auto"/>
        <w:jc w:val="both"/>
        <w:rPr>
          <w:rFonts w:ascii="Times New Roman" w:hAnsi="Times New Roman" w:cs="Times New Roman"/>
          <w:sz w:val="24"/>
          <w:szCs w:val="24"/>
        </w:rPr>
      </w:pPr>
    </w:p>
    <w:p w:rsidR="0099260D" w:rsidRDefault="00C23B09" w:rsidP="00B04A17">
      <w:pPr>
        <w:autoSpaceDE w:val="0"/>
        <w:autoSpaceDN w:val="0"/>
        <w:adjustRightInd w:val="0"/>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IMF(2011)</w:t>
      </w:r>
      <w:r w:rsidRPr="00B04A17">
        <w:rPr>
          <w:rFonts w:ascii="Times New Roman" w:hAnsi="Times New Roman" w:cs="Times New Roman"/>
          <w:bCs/>
          <w:sz w:val="24"/>
          <w:szCs w:val="24"/>
        </w:rPr>
        <w:t xml:space="preserve"> Managing Vola</w:t>
      </w:r>
      <w:r w:rsidR="00A9715D" w:rsidRPr="00B04A17">
        <w:rPr>
          <w:rFonts w:ascii="Times New Roman" w:hAnsi="Times New Roman" w:cs="Times New Roman"/>
          <w:bCs/>
          <w:sz w:val="24"/>
          <w:szCs w:val="24"/>
        </w:rPr>
        <w:t xml:space="preserve">tility in Low-Income Countries: </w:t>
      </w:r>
      <w:r w:rsidRPr="00B04A17">
        <w:rPr>
          <w:rFonts w:ascii="Times New Roman" w:hAnsi="Times New Roman" w:cs="Times New Roman"/>
          <w:bCs/>
          <w:sz w:val="24"/>
          <w:szCs w:val="24"/>
        </w:rPr>
        <w:t>The Role and Potential for Contingent Financial Instruments</w:t>
      </w:r>
      <w:r w:rsidR="004456A0" w:rsidRPr="00B04A17">
        <w:rPr>
          <w:rFonts w:ascii="Times New Roman" w:hAnsi="Times New Roman" w:cs="Times New Roman"/>
          <w:sz w:val="24"/>
          <w:szCs w:val="24"/>
        </w:rPr>
        <w:t xml:space="preserve"> October. </w:t>
      </w:r>
    </w:p>
    <w:p w:rsidR="00C23B09" w:rsidRPr="00B04A17" w:rsidRDefault="008E10B3" w:rsidP="00B04A17">
      <w:pPr>
        <w:autoSpaceDE w:val="0"/>
        <w:autoSpaceDN w:val="0"/>
        <w:adjustRightInd w:val="0"/>
        <w:spacing w:after="0" w:line="240" w:lineRule="auto"/>
        <w:jc w:val="both"/>
        <w:rPr>
          <w:rFonts w:ascii="Times New Roman" w:hAnsi="Times New Roman" w:cs="Times New Roman"/>
          <w:sz w:val="24"/>
          <w:szCs w:val="24"/>
        </w:rPr>
      </w:pPr>
      <w:hyperlink r:id="rId22" w:history="1">
        <w:r w:rsidR="00A9715D" w:rsidRPr="00B04A17">
          <w:rPr>
            <w:rStyle w:val="Hyperlink"/>
            <w:rFonts w:ascii="Times New Roman" w:hAnsi="Times New Roman" w:cs="Times New Roman"/>
            <w:sz w:val="24"/>
            <w:szCs w:val="24"/>
          </w:rPr>
          <w:t>http://www.imf.org/external/np/pp/eng/2011/103111a.pdf</w:t>
        </w:r>
      </w:hyperlink>
    </w:p>
    <w:p w:rsidR="00A9715D" w:rsidRPr="00B04A17" w:rsidRDefault="00A9715D" w:rsidP="00B04A17">
      <w:pPr>
        <w:autoSpaceDE w:val="0"/>
        <w:autoSpaceDN w:val="0"/>
        <w:adjustRightInd w:val="0"/>
        <w:spacing w:after="0" w:line="240" w:lineRule="auto"/>
        <w:jc w:val="both"/>
        <w:rPr>
          <w:rFonts w:ascii="Times New Roman" w:hAnsi="Times New Roman" w:cs="Times New Roman"/>
          <w:bCs/>
          <w:sz w:val="24"/>
          <w:szCs w:val="24"/>
        </w:rPr>
      </w:pP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(2011) ‘IMF Country Report No. 11/152; Staff Report for the 2010 Article IV Consultation’, prepared by the Staff Representatives for the 2010 Consultation with Guyana, January 5.</w:t>
      </w:r>
    </w:p>
    <w:p w:rsidR="0099260D" w:rsidRPr="00B04A17" w:rsidRDefault="0099260D" w:rsidP="00B04A17">
      <w:pPr>
        <w:spacing w:after="0" w:line="240" w:lineRule="auto"/>
        <w:jc w:val="both"/>
        <w:rPr>
          <w:rFonts w:ascii="Times New Roman" w:hAnsi="Times New Roman" w:cs="Times New Roman"/>
          <w:sz w:val="24"/>
          <w:szCs w:val="24"/>
        </w:rPr>
      </w:pPr>
    </w:p>
    <w:p w:rsidR="00E225DF" w:rsidRPr="00B04A17"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(2010) ‘Staff Report for the 2010 Article IV Consultation’, prepared by the Staff Representatives for the 2010 Consultation with Dominica, IMF Report No 10/261, April 27.</w:t>
      </w: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lastRenderedPageBreak/>
        <w:t>IMF (2010) ‘IMF Executive Board Concludes 2009 Article IV Consultation with Guyana’, Public Information Notice (PIN), No. 10/48, April 13.</w:t>
      </w:r>
    </w:p>
    <w:p w:rsidR="0099260D" w:rsidRPr="00B04A17" w:rsidRDefault="0099260D" w:rsidP="00B04A17">
      <w:pPr>
        <w:spacing w:after="0" w:line="240" w:lineRule="auto"/>
        <w:jc w:val="both"/>
        <w:rPr>
          <w:rFonts w:ascii="Times New Roman" w:hAnsi="Times New Roman" w:cs="Times New Roman"/>
          <w:sz w:val="24"/>
          <w:szCs w:val="24"/>
        </w:rPr>
      </w:pP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(2010) ‘IMF Staff Report for Malawi 2009 Article IV Consultation and Request for a Three-Year Arrangement Under the Extended Credit Facility’, prepared by the African Department, February 4.</w:t>
      </w:r>
    </w:p>
    <w:p w:rsidR="0099260D" w:rsidRPr="00B04A17" w:rsidRDefault="0099260D" w:rsidP="00B04A17">
      <w:pPr>
        <w:spacing w:after="0" w:line="240" w:lineRule="auto"/>
        <w:jc w:val="both"/>
        <w:rPr>
          <w:rFonts w:ascii="Times New Roman" w:hAnsi="Times New Roman" w:cs="Times New Roman"/>
          <w:sz w:val="24"/>
          <w:szCs w:val="24"/>
        </w:rPr>
      </w:pP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(2010) ‘Mauritius: Staff Report for the 2009 Article IV Consultation’. IMF Country Report No. 107February.</w:t>
      </w:r>
    </w:p>
    <w:p w:rsidR="0099260D" w:rsidRPr="00B04A17" w:rsidRDefault="0099260D" w:rsidP="00B04A17">
      <w:pPr>
        <w:spacing w:after="0" w:line="240" w:lineRule="auto"/>
        <w:jc w:val="both"/>
        <w:rPr>
          <w:rFonts w:ascii="Times New Roman" w:hAnsi="Times New Roman" w:cs="Times New Roman"/>
          <w:sz w:val="24"/>
          <w:szCs w:val="24"/>
        </w:rPr>
      </w:pP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(2009) ‘IMF Executive Board Approves US$ 5.1 Million Disbursement for Dominica Under the Exogenous Shocks Facility’, Press Release No. 09/260, July 13.</w:t>
      </w:r>
    </w:p>
    <w:p w:rsidR="0099260D" w:rsidRPr="00B04A17" w:rsidRDefault="0099260D" w:rsidP="00B04A17">
      <w:pPr>
        <w:spacing w:after="0" w:line="240" w:lineRule="auto"/>
        <w:jc w:val="both"/>
        <w:rPr>
          <w:rFonts w:ascii="Times New Roman" w:hAnsi="Times New Roman" w:cs="Times New Roman"/>
          <w:sz w:val="24"/>
          <w:szCs w:val="24"/>
        </w:rPr>
      </w:pPr>
    </w:p>
    <w:p w:rsidR="00E225DF" w:rsidRPr="00B04A17"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(2009) ‘Dominica: Request for Disbursement Und</w:t>
      </w:r>
      <w:r w:rsidR="00401D93" w:rsidRPr="00B04A17">
        <w:rPr>
          <w:rFonts w:ascii="Times New Roman" w:hAnsi="Times New Roman" w:cs="Times New Roman"/>
          <w:sz w:val="24"/>
          <w:szCs w:val="24"/>
        </w:rPr>
        <w:t xml:space="preserve">er </w:t>
      </w:r>
      <w:r w:rsidRPr="00B04A17">
        <w:rPr>
          <w:rFonts w:ascii="Times New Roman" w:hAnsi="Times New Roman" w:cs="Times New Roman"/>
          <w:sz w:val="24"/>
          <w:szCs w:val="24"/>
        </w:rPr>
        <w:t>the Rapid-Access Component of the Exogenous Shocks Facility’, prepared by the Western Hemisphere Department, IMF Country Report No. 09/293, June 26.</w:t>
      </w: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(2009) ‘IMF Executive Board Concludes 2008 Article IV Consultation with Guyana’, Public Information Notice (PIN), No. 09/61, May 19.</w:t>
      </w:r>
    </w:p>
    <w:p w:rsidR="0099260D" w:rsidRPr="00B04A17" w:rsidRDefault="0099260D" w:rsidP="00B04A17">
      <w:pPr>
        <w:spacing w:after="0" w:line="240" w:lineRule="auto"/>
        <w:jc w:val="both"/>
        <w:rPr>
          <w:rFonts w:ascii="Times New Roman" w:hAnsi="Times New Roman" w:cs="Times New Roman"/>
          <w:sz w:val="24"/>
          <w:szCs w:val="24"/>
        </w:rPr>
      </w:pPr>
    </w:p>
    <w:p w:rsidR="00E225DF"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(2009) ‘IMF Country Report for Malawi, No 09/16, January.</w:t>
      </w:r>
    </w:p>
    <w:p w:rsidR="0099260D" w:rsidRDefault="0099260D" w:rsidP="00B04A17">
      <w:pPr>
        <w:spacing w:after="0" w:line="240" w:lineRule="auto"/>
        <w:jc w:val="both"/>
        <w:rPr>
          <w:rFonts w:ascii="Times New Roman" w:hAnsi="Times New Roman" w:cs="Times New Roman"/>
          <w:sz w:val="24"/>
          <w:szCs w:val="24"/>
        </w:rPr>
      </w:pPr>
    </w:p>
    <w:p w:rsidR="0080377A" w:rsidRDefault="00E225DF"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IMF (2008) ‘High Food, Fuel Prices a Threat Where Protection Limited’, IMF Survey Magazine: Countries &amp; Regions, October 21.</w:t>
      </w:r>
    </w:p>
    <w:p w:rsidR="0099260D" w:rsidRPr="00B04A17" w:rsidRDefault="0099260D" w:rsidP="00B04A17">
      <w:pPr>
        <w:spacing w:after="0" w:line="240" w:lineRule="auto"/>
        <w:jc w:val="both"/>
        <w:rPr>
          <w:rFonts w:ascii="Times New Roman" w:hAnsi="Times New Roman" w:cs="Times New Roman"/>
          <w:sz w:val="24"/>
          <w:szCs w:val="24"/>
        </w:rPr>
      </w:pPr>
    </w:p>
    <w:p w:rsidR="00756B00" w:rsidRPr="00B04A17" w:rsidRDefault="00015367" w:rsidP="00B04A17">
      <w:pPr>
        <w:autoSpaceDE w:val="0"/>
        <w:autoSpaceDN w:val="0"/>
        <w:adjustRightInd w:val="0"/>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Raddatz, C. (2008)</w:t>
      </w:r>
      <w:r w:rsidR="00756B00" w:rsidRPr="00B04A17">
        <w:rPr>
          <w:rFonts w:ascii="Times New Roman" w:hAnsi="Times New Roman" w:cs="Times New Roman"/>
          <w:sz w:val="24"/>
          <w:szCs w:val="24"/>
        </w:rPr>
        <w:t xml:space="preserve"> “Have External Sh</w:t>
      </w:r>
      <w:r w:rsidR="00401D93" w:rsidRPr="00B04A17">
        <w:rPr>
          <w:rFonts w:ascii="Times New Roman" w:hAnsi="Times New Roman" w:cs="Times New Roman"/>
          <w:sz w:val="24"/>
          <w:szCs w:val="24"/>
        </w:rPr>
        <w:t xml:space="preserve">ocks become more Important </w:t>
      </w:r>
      <w:r w:rsidR="00756B00" w:rsidRPr="00B04A17">
        <w:rPr>
          <w:rFonts w:ascii="Times New Roman" w:hAnsi="Times New Roman" w:cs="Times New Roman"/>
          <w:sz w:val="24"/>
          <w:szCs w:val="24"/>
        </w:rPr>
        <w:t>for Output Fluctuations in</w:t>
      </w:r>
    </w:p>
    <w:p w:rsidR="00756B00" w:rsidRPr="00B04A17" w:rsidRDefault="00401D93" w:rsidP="00B04A17">
      <w:pPr>
        <w:autoSpaceDE w:val="0"/>
        <w:autoSpaceDN w:val="0"/>
        <w:adjustRightInd w:val="0"/>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 xml:space="preserve">African Countries?” </w:t>
      </w:r>
      <w:r w:rsidR="00756B00" w:rsidRPr="00B04A17">
        <w:rPr>
          <w:rFonts w:ascii="Times New Roman" w:hAnsi="Times New Roman" w:cs="Times New Roman"/>
          <w:sz w:val="24"/>
          <w:szCs w:val="24"/>
        </w:rPr>
        <w:t xml:space="preserve">in </w:t>
      </w:r>
      <w:r w:rsidR="00756B00" w:rsidRPr="00B04A17">
        <w:rPr>
          <w:rFonts w:ascii="Times New Roman" w:hAnsi="Times New Roman" w:cs="Times New Roman"/>
          <w:i/>
          <w:iCs/>
          <w:sz w:val="24"/>
          <w:szCs w:val="24"/>
        </w:rPr>
        <w:t>Africa at a Turning Point? Growth, Aid, and External Shocks</w:t>
      </w:r>
      <w:r w:rsidR="00756B00" w:rsidRPr="00B04A17">
        <w:rPr>
          <w:rFonts w:ascii="Times New Roman" w:hAnsi="Times New Roman" w:cs="Times New Roman"/>
          <w:sz w:val="24"/>
          <w:szCs w:val="24"/>
        </w:rPr>
        <w:t>,</w:t>
      </w:r>
    </w:p>
    <w:p w:rsidR="00756B00" w:rsidRDefault="00756B00"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ed. by Go and Page (Washington: World Bank).</w:t>
      </w:r>
    </w:p>
    <w:p w:rsidR="0099260D" w:rsidRPr="00B04A17" w:rsidRDefault="0099260D" w:rsidP="00B04A17">
      <w:pPr>
        <w:spacing w:after="0" w:line="240" w:lineRule="auto"/>
        <w:jc w:val="both"/>
        <w:rPr>
          <w:rFonts w:ascii="Times New Roman" w:hAnsi="Times New Roman" w:cs="Times New Roman"/>
          <w:sz w:val="24"/>
          <w:szCs w:val="24"/>
        </w:rPr>
      </w:pPr>
    </w:p>
    <w:p w:rsidR="002D7CBA" w:rsidRDefault="002D7CBA" w:rsidP="00B04A17">
      <w:pPr>
        <w:spacing w:after="0" w:line="240" w:lineRule="auto"/>
        <w:jc w:val="both"/>
        <w:rPr>
          <w:rFonts w:ascii="Times New Roman" w:hAnsi="Times New Roman" w:cs="Times New Roman"/>
          <w:sz w:val="24"/>
          <w:szCs w:val="24"/>
        </w:rPr>
      </w:pPr>
      <w:r w:rsidRPr="00B04A17">
        <w:rPr>
          <w:rFonts w:ascii="Times New Roman" w:hAnsi="Times New Roman" w:cs="Times New Roman"/>
          <w:sz w:val="24"/>
          <w:szCs w:val="24"/>
        </w:rPr>
        <w:t>Te Velde D</w:t>
      </w:r>
      <w:r w:rsidR="004E4D20" w:rsidRPr="00B04A17">
        <w:rPr>
          <w:rFonts w:ascii="Times New Roman" w:hAnsi="Times New Roman" w:cs="Times New Roman"/>
          <w:sz w:val="24"/>
          <w:szCs w:val="24"/>
        </w:rPr>
        <w:t>. W.</w:t>
      </w:r>
      <w:r w:rsidRPr="00B04A17">
        <w:rPr>
          <w:rFonts w:ascii="Times New Roman" w:hAnsi="Times New Roman" w:cs="Times New Roman"/>
          <w:sz w:val="24"/>
          <w:szCs w:val="24"/>
        </w:rPr>
        <w:t>, G</w:t>
      </w:r>
      <w:r w:rsidR="00C05C8F" w:rsidRPr="00B04A17">
        <w:rPr>
          <w:rFonts w:ascii="Times New Roman" w:hAnsi="Times New Roman" w:cs="Times New Roman"/>
          <w:sz w:val="24"/>
          <w:szCs w:val="24"/>
        </w:rPr>
        <w:t>riffith-Jones, S  et al (2011) “</w:t>
      </w:r>
      <w:r w:rsidRPr="00B04A17">
        <w:rPr>
          <w:rFonts w:ascii="Times New Roman" w:hAnsi="Times New Roman" w:cs="Times New Roman"/>
          <w:sz w:val="24"/>
          <w:szCs w:val="24"/>
        </w:rPr>
        <w:t>Study on shock absorbing sch</w:t>
      </w:r>
      <w:r w:rsidR="00C05C8F" w:rsidRPr="00B04A17">
        <w:rPr>
          <w:rFonts w:ascii="Times New Roman" w:hAnsi="Times New Roman" w:cs="Times New Roman"/>
          <w:sz w:val="24"/>
          <w:szCs w:val="24"/>
        </w:rPr>
        <w:t>emes in ACP countries“</w:t>
      </w:r>
      <w:r w:rsidRPr="00B04A17">
        <w:rPr>
          <w:rFonts w:ascii="Times New Roman" w:hAnsi="Times New Roman" w:cs="Times New Roman"/>
          <w:sz w:val="24"/>
          <w:szCs w:val="24"/>
        </w:rPr>
        <w:t>, Final Report for the European Commission, May.</w:t>
      </w:r>
    </w:p>
    <w:p w:rsidR="0099260D" w:rsidRPr="00B04A17" w:rsidRDefault="0099260D" w:rsidP="00B04A17">
      <w:pPr>
        <w:spacing w:after="0" w:line="240" w:lineRule="auto"/>
        <w:jc w:val="both"/>
        <w:rPr>
          <w:rFonts w:ascii="Times New Roman" w:hAnsi="Times New Roman" w:cs="Times New Roman"/>
          <w:sz w:val="24"/>
          <w:szCs w:val="24"/>
        </w:rPr>
      </w:pPr>
    </w:p>
    <w:p w:rsidR="004E4D20" w:rsidRDefault="004E4D20" w:rsidP="00B04A17">
      <w:pPr>
        <w:autoSpaceDE w:val="0"/>
        <w:autoSpaceDN w:val="0"/>
        <w:adjustRightInd w:val="0"/>
        <w:spacing w:after="0" w:line="240" w:lineRule="auto"/>
        <w:jc w:val="both"/>
        <w:rPr>
          <w:rStyle w:val="Hyperlink"/>
          <w:rFonts w:ascii="Times New Roman" w:hAnsi="Times New Roman" w:cs="Times New Roman"/>
          <w:sz w:val="24"/>
          <w:szCs w:val="24"/>
        </w:rPr>
      </w:pPr>
      <w:r w:rsidRPr="00B04A17">
        <w:rPr>
          <w:rFonts w:ascii="Times New Roman" w:hAnsi="Times New Roman" w:cs="Times New Roman"/>
          <w:sz w:val="24"/>
          <w:szCs w:val="24"/>
        </w:rPr>
        <w:t>Te Velde, D.W., Massa,</w:t>
      </w:r>
      <w:r w:rsidR="00802B8B" w:rsidRPr="00B04A17">
        <w:rPr>
          <w:rFonts w:ascii="Times New Roman" w:hAnsi="Times New Roman" w:cs="Times New Roman"/>
          <w:sz w:val="24"/>
          <w:szCs w:val="24"/>
        </w:rPr>
        <w:t xml:space="preserve"> I., et al. </w:t>
      </w:r>
      <w:r w:rsidRPr="00B04A17">
        <w:rPr>
          <w:rFonts w:ascii="Times New Roman" w:hAnsi="Times New Roman" w:cs="Times New Roman"/>
          <w:sz w:val="24"/>
          <w:szCs w:val="24"/>
        </w:rPr>
        <w:t xml:space="preserve">(2009) </w:t>
      </w:r>
      <w:r w:rsidRPr="00B04A17">
        <w:rPr>
          <w:rFonts w:ascii="Times New Roman" w:hAnsi="Times New Roman" w:cs="Times New Roman"/>
          <w:i/>
          <w:iCs/>
          <w:sz w:val="24"/>
          <w:szCs w:val="24"/>
        </w:rPr>
        <w:t>The Global Financial Crisis and Developing Countries: Synthesis of the Findings of 10 Country Case Studies</w:t>
      </w:r>
      <w:r w:rsidR="00401D93" w:rsidRPr="00B04A17">
        <w:rPr>
          <w:rFonts w:ascii="Times New Roman" w:hAnsi="Times New Roman" w:cs="Times New Roman"/>
          <w:sz w:val="24"/>
          <w:szCs w:val="24"/>
        </w:rPr>
        <w:t xml:space="preserve">. Working </w:t>
      </w:r>
      <w:r w:rsidRPr="00B04A17">
        <w:rPr>
          <w:rFonts w:ascii="Times New Roman" w:hAnsi="Times New Roman" w:cs="Times New Roman"/>
          <w:sz w:val="24"/>
          <w:szCs w:val="24"/>
        </w:rPr>
        <w:t xml:space="preserve">Paper 306. </w:t>
      </w:r>
      <w:hyperlink r:id="rId23" w:history="1">
        <w:r w:rsidRPr="00B04A17">
          <w:rPr>
            <w:rStyle w:val="Hyperlink"/>
            <w:rFonts w:ascii="Times New Roman" w:hAnsi="Times New Roman" w:cs="Times New Roman"/>
            <w:sz w:val="24"/>
            <w:szCs w:val="24"/>
          </w:rPr>
          <w:t>http://www.un.org/esa/policy/devplan/cdppublications/2006cdpreport.pdf</w:t>
        </w:r>
      </w:hyperlink>
    </w:p>
    <w:p w:rsidR="0099260D" w:rsidRPr="00B04A17" w:rsidRDefault="0099260D" w:rsidP="00B04A17">
      <w:pPr>
        <w:autoSpaceDE w:val="0"/>
        <w:autoSpaceDN w:val="0"/>
        <w:adjustRightInd w:val="0"/>
        <w:spacing w:after="0" w:line="240" w:lineRule="auto"/>
        <w:jc w:val="both"/>
        <w:rPr>
          <w:rFonts w:ascii="Times New Roman" w:hAnsi="Times New Roman" w:cs="Times New Roman"/>
          <w:color w:val="1F497D"/>
          <w:sz w:val="24"/>
          <w:szCs w:val="24"/>
        </w:rPr>
      </w:pPr>
    </w:p>
    <w:p w:rsidR="004E4D20" w:rsidRPr="00B04A17" w:rsidRDefault="004E4D20" w:rsidP="00B04A17">
      <w:pPr>
        <w:autoSpaceDE w:val="0"/>
        <w:autoSpaceDN w:val="0"/>
        <w:adjustRightInd w:val="0"/>
        <w:spacing w:after="0" w:line="240" w:lineRule="auto"/>
        <w:jc w:val="both"/>
        <w:rPr>
          <w:rFonts w:ascii="Times New Roman" w:hAnsi="Times New Roman" w:cs="Times New Roman"/>
          <w:sz w:val="24"/>
          <w:szCs w:val="24"/>
        </w:rPr>
      </w:pPr>
    </w:p>
    <w:p w:rsidR="00FE3B85" w:rsidRPr="00B04A17" w:rsidRDefault="00401D93" w:rsidP="00B04A17">
      <w:pPr>
        <w:autoSpaceDE w:val="0"/>
        <w:autoSpaceDN w:val="0"/>
        <w:adjustRightInd w:val="0"/>
        <w:spacing w:after="0" w:line="240" w:lineRule="auto"/>
        <w:jc w:val="both"/>
        <w:rPr>
          <w:rFonts w:ascii="Times New Roman" w:hAnsi="Times New Roman" w:cs="Times New Roman"/>
          <w:sz w:val="24"/>
          <w:szCs w:val="24"/>
        </w:rPr>
      </w:pPr>
      <w:r w:rsidRPr="00B04A17">
        <w:rPr>
          <w:rStyle w:val="Strong"/>
          <w:rFonts w:ascii="Times New Roman" w:hAnsi="Times New Roman" w:cs="Times New Roman"/>
          <w:b w:val="0"/>
          <w:sz w:val="24"/>
          <w:szCs w:val="24"/>
        </w:rPr>
        <w:t xml:space="preserve">Winters, L.A., Lim, W, </w:t>
      </w:r>
      <w:r w:rsidR="00FE3B85" w:rsidRPr="00B04A17">
        <w:rPr>
          <w:rStyle w:val="Strong"/>
          <w:rFonts w:ascii="Times New Roman" w:hAnsi="Times New Roman" w:cs="Times New Roman"/>
          <w:b w:val="0"/>
          <w:sz w:val="24"/>
          <w:szCs w:val="24"/>
        </w:rPr>
        <w:t>Hanm</w:t>
      </w:r>
      <w:r w:rsidR="00C05C8F" w:rsidRPr="00B04A17">
        <w:rPr>
          <w:rStyle w:val="Strong"/>
          <w:rFonts w:ascii="Times New Roman" w:hAnsi="Times New Roman" w:cs="Times New Roman"/>
          <w:b w:val="0"/>
          <w:sz w:val="24"/>
          <w:szCs w:val="24"/>
        </w:rPr>
        <w:t>er, L. and Augustin, S. (2010) “</w:t>
      </w:r>
      <w:r w:rsidR="00FE3B85" w:rsidRPr="00B04A17">
        <w:rPr>
          <w:rFonts w:ascii="Times New Roman" w:hAnsi="Times New Roman" w:cs="Times New Roman"/>
          <w:sz w:val="24"/>
          <w:szCs w:val="24"/>
        </w:rPr>
        <w:t>Economic Growth in Low Income Countries: How the G20 Ca</w:t>
      </w:r>
      <w:r w:rsidR="00C05C8F" w:rsidRPr="00B04A17">
        <w:rPr>
          <w:rFonts w:ascii="Times New Roman" w:hAnsi="Times New Roman" w:cs="Times New Roman"/>
          <w:sz w:val="24"/>
          <w:szCs w:val="24"/>
        </w:rPr>
        <w:t>n Help to Raise and Sustain It.”</w:t>
      </w:r>
      <w:r w:rsidR="00FE3B85" w:rsidRPr="00B04A17">
        <w:rPr>
          <w:rFonts w:ascii="Times New Roman" w:hAnsi="Times New Roman" w:cs="Times New Roman"/>
          <w:sz w:val="24"/>
          <w:szCs w:val="24"/>
        </w:rPr>
        <w:t xml:space="preserve"> ED-WPS No. 8-2010.</w:t>
      </w:r>
    </w:p>
    <w:p w:rsidR="00654B58" w:rsidRPr="00B04A17" w:rsidRDefault="00654B58" w:rsidP="00B04A17">
      <w:pPr>
        <w:autoSpaceDE w:val="0"/>
        <w:autoSpaceDN w:val="0"/>
        <w:adjustRightInd w:val="0"/>
        <w:spacing w:after="0" w:line="240" w:lineRule="auto"/>
        <w:jc w:val="both"/>
        <w:rPr>
          <w:rFonts w:ascii="Times New Roman" w:hAnsi="Times New Roman" w:cs="Times New Roman"/>
          <w:sz w:val="24"/>
          <w:szCs w:val="24"/>
        </w:rPr>
      </w:pPr>
    </w:p>
    <w:p w:rsidR="00FE3B85" w:rsidRPr="00B04A17" w:rsidRDefault="00FE3B85" w:rsidP="00B04A17">
      <w:pPr>
        <w:autoSpaceDE w:val="0"/>
        <w:autoSpaceDN w:val="0"/>
        <w:adjustRightInd w:val="0"/>
        <w:spacing w:after="0" w:line="240" w:lineRule="auto"/>
        <w:jc w:val="both"/>
        <w:rPr>
          <w:rFonts w:ascii="Times New Roman" w:hAnsi="Times New Roman" w:cs="Times New Roman"/>
          <w:sz w:val="24"/>
          <w:szCs w:val="24"/>
        </w:rPr>
      </w:pPr>
    </w:p>
    <w:sectPr w:rsidR="00FE3B85" w:rsidRPr="00B04A17" w:rsidSect="000F2420">
      <w:type w:val="continuous"/>
      <w:pgSz w:w="11907" w:h="16839"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B3" w:rsidRDefault="008E10B3" w:rsidP="005D5F50">
      <w:pPr>
        <w:spacing w:after="0" w:line="240" w:lineRule="auto"/>
      </w:pPr>
      <w:r>
        <w:separator/>
      </w:r>
    </w:p>
  </w:endnote>
  <w:endnote w:type="continuationSeparator" w:id="0">
    <w:p w:rsidR="008E10B3" w:rsidRDefault="008E10B3" w:rsidP="005D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B3" w:rsidRDefault="008E10B3">
    <w:pPr>
      <w:pStyle w:val="Footer"/>
      <w:jc w:val="center"/>
    </w:pPr>
  </w:p>
  <w:p w:rsidR="008E10B3" w:rsidRDefault="008E1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868413"/>
      <w:docPartObj>
        <w:docPartGallery w:val="Page Numbers (Bottom of Page)"/>
        <w:docPartUnique/>
      </w:docPartObj>
    </w:sdtPr>
    <w:sdtEndPr>
      <w:rPr>
        <w:noProof/>
      </w:rPr>
    </w:sdtEndPr>
    <w:sdtContent>
      <w:p w:rsidR="008E10B3" w:rsidRDefault="008E10B3">
        <w:pPr>
          <w:pStyle w:val="Footer"/>
          <w:jc w:val="center"/>
        </w:pPr>
        <w:r>
          <w:fldChar w:fldCharType="begin"/>
        </w:r>
        <w:r>
          <w:instrText xml:space="preserve"> PAGE   \* MERGEFORMAT </w:instrText>
        </w:r>
        <w:r>
          <w:fldChar w:fldCharType="separate"/>
        </w:r>
        <w:r w:rsidR="003A62CC">
          <w:rPr>
            <w:noProof/>
          </w:rPr>
          <w:t>9</w:t>
        </w:r>
        <w:r>
          <w:rPr>
            <w:noProof/>
          </w:rPr>
          <w:fldChar w:fldCharType="end"/>
        </w:r>
      </w:p>
    </w:sdtContent>
  </w:sdt>
  <w:p w:rsidR="008E10B3" w:rsidRDefault="008E10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0B3" w:rsidRDefault="008E10B3" w:rsidP="00B04A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B3" w:rsidRDefault="008E10B3" w:rsidP="005D5F50">
      <w:pPr>
        <w:spacing w:after="0" w:line="240" w:lineRule="auto"/>
      </w:pPr>
      <w:r>
        <w:separator/>
      </w:r>
    </w:p>
  </w:footnote>
  <w:footnote w:type="continuationSeparator" w:id="0">
    <w:p w:rsidR="008E10B3" w:rsidRDefault="008E10B3" w:rsidP="005D5F50">
      <w:pPr>
        <w:spacing w:after="0" w:line="240" w:lineRule="auto"/>
      </w:pPr>
      <w:r>
        <w:continuationSeparator/>
      </w:r>
    </w:p>
  </w:footnote>
  <w:footnote w:id="1">
    <w:p w:rsidR="008E10B3" w:rsidRPr="00C33741" w:rsidRDefault="008E10B3">
      <w:pPr>
        <w:pStyle w:val="FootnoteText"/>
        <w:rPr>
          <w:rFonts w:ascii="Times New Roman" w:hAnsi="Times New Roman" w:cs="Times New Roman"/>
        </w:rPr>
      </w:pPr>
      <w:r w:rsidRPr="00C33741">
        <w:rPr>
          <w:rStyle w:val="FootnoteReference"/>
          <w:rFonts w:ascii="Times New Roman" w:hAnsi="Times New Roman" w:cs="Times New Roman"/>
        </w:rPr>
        <w:footnoteRef/>
      </w:r>
      <w:r w:rsidRPr="00C33741">
        <w:rPr>
          <w:rFonts w:ascii="Times New Roman" w:hAnsi="Times New Roman" w:cs="Times New Roman"/>
        </w:rPr>
        <w:t xml:space="preserve">     Paper prepared by Professor Stephany Griffith-Jones with Ricardo Gottschalk, Financial Markets Director, Initiative for Policy Dialogue, Columbia University and Research Associate, ODI.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F75"/>
    <w:multiLevelType w:val="hybridMultilevel"/>
    <w:tmpl w:val="F230B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F718E4"/>
    <w:multiLevelType w:val="hybridMultilevel"/>
    <w:tmpl w:val="14B0E9C4"/>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2">
    <w:nsid w:val="0DD303E7"/>
    <w:multiLevelType w:val="hybridMultilevel"/>
    <w:tmpl w:val="73C4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826A40"/>
    <w:multiLevelType w:val="multilevel"/>
    <w:tmpl w:val="AEE87F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CB3E3A"/>
    <w:multiLevelType w:val="hybridMultilevel"/>
    <w:tmpl w:val="DC4E172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173584"/>
    <w:multiLevelType w:val="hybridMultilevel"/>
    <w:tmpl w:val="884680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A07E2B"/>
    <w:multiLevelType w:val="hybridMultilevel"/>
    <w:tmpl w:val="FCAE26D0"/>
    <w:lvl w:ilvl="0" w:tplc="7354C140">
      <w:start w:val="4"/>
      <w:numFmt w:val="bullet"/>
      <w:lvlText w:val=""/>
      <w:lvlJc w:val="left"/>
      <w:pPr>
        <w:ind w:left="426" w:hanging="360"/>
      </w:pPr>
      <w:rPr>
        <w:rFonts w:ascii="Symbol" w:eastAsia="SymbolMT" w:hAnsi="Symbol" w:cstheme="minorHAnsi"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7">
    <w:nsid w:val="16321F2E"/>
    <w:multiLevelType w:val="hybridMultilevel"/>
    <w:tmpl w:val="B65A510C"/>
    <w:lvl w:ilvl="0" w:tplc="6994B4FC">
      <w:start w:val="4"/>
      <w:numFmt w:val="bullet"/>
      <w:lvlText w:val=""/>
      <w:lvlJc w:val="left"/>
      <w:pPr>
        <w:ind w:left="720" w:hanging="360"/>
      </w:pPr>
      <w:rPr>
        <w:rFonts w:ascii="Symbol" w:eastAsia="SymbolMT"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6B51C0"/>
    <w:multiLevelType w:val="hybridMultilevel"/>
    <w:tmpl w:val="DA127E7C"/>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nsid w:val="24A86D34"/>
    <w:multiLevelType w:val="hybridMultilevel"/>
    <w:tmpl w:val="4C0E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5142E0"/>
    <w:multiLevelType w:val="hybridMultilevel"/>
    <w:tmpl w:val="B6D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E53D3C"/>
    <w:multiLevelType w:val="hybridMultilevel"/>
    <w:tmpl w:val="EFBA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B5570C"/>
    <w:multiLevelType w:val="hybridMultilevel"/>
    <w:tmpl w:val="71AA0CC0"/>
    <w:lvl w:ilvl="0" w:tplc="6CB03DF0">
      <w:start w:val="1"/>
      <w:numFmt w:val="decimal"/>
      <w:lvlText w:val="%1."/>
      <w:lvlJc w:val="left"/>
      <w:pPr>
        <w:ind w:left="1146" w:hanging="360"/>
      </w:pPr>
    </w:lvl>
    <w:lvl w:ilvl="1" w:tplc="7E7609EE" w:tentative="1">
      <w:start w:val="1"/>
      <w:numFmt w:val="lowerLetter"/>
      <w:lvlText w:val="%2."/>
      <w:lvlJc w:val="left"/>
      <w:pPr>
        <w:ind w:left="1866" w:hanging="360"/>
      </w:pPr>
    </w:lvl>
    <w:lvl w:ilvl="2" w:tplc="3B546D7E" w:tentative="1">
      <w:start w:val="1"/>
      <w:numFmt w:val="lowerRoman"/>
      <w:lvlText w:val="%3."/>
      <w:lvlJc w:val="right"/>
      <w:pPr>
        <w:ind w:left="2586" w:hanging="180"/>
      </w:pPr>
    </w:lvl>
    <w:lvl w:ilvl="3" w:tplc="D6AE8E32" w:tentative="1">
      <w:start w:val="1"/>
      <w:numFmt w:val="decimal"/>
      <w:lvlText w:val="%4."/>
      <w:lvlJc w:val="left"/>
      <w:pPr>
        <w:ind w:left="3306" w:hanging="360"/>
      </w:pPr>
    </w:lvl>
    <w:lvl w:ilvl="4" w:tplc="8C680CDA" w:tentative="1">
      <w:start w:val="1"/>
      <w:numFmt w:val="lowerLetter"/>
      <w:lvlText w:val="%5."/>
      <w:lvlJc w:val="left"/>
      <w:pPr>
        <w:ind w:left="4026" w:hanging="360"/>
      </w:pPr>
    </w:lvl>
    <w:lvl w:ilvl="5" w:tplc="424CAF78" w:tentative="1">
      <w:start w:val="1"/>
      <w:numFmt w:val="lowerRoman"/>
      <w:lvlText w:val="%6."/>
      <w:lvlJc w:val="right"/>
      <w:pPr>
        <w:ind w:left="4746" w:hanging="180"/>
      </w:pPr>
    </w:lvl>
    <w:lvl w:ilvl="6" w:tplc="1930AC8A" w:tentative="1">
      <w:start w:val="1"/>
      <w:numFmt w:val="decimal"/>
      <w:lvlText w:val="%7."/>
      <w:lvlJc w:val="left"/>
      <w:pPr>
        <w:ind w:left="5466" w:hanging="360"/>
      </w:pPr>
    </w:lvl>
    <w:lvl w:ilvl="7" w:tplc="CB26E59E" w:tentative="1">
      <w:start w:val="1"/>
      <w:numFmt w:val="lowerLetter"/>
      <w:lvlText w:val="%8."/>
      <w:lvlJc w:val="left"/>
      <w:pPr>
        <w:ind w:left="6186" w:hanging="360"/>
      </w:pPr>
    </w:lvl>
    <w:lvl w:ilvl="8" w:tplc="7108B696" w:tentative="1">
      <w:start w:val="1"/>
      <w:numFmt w:val="lowerRoman"/>
      <w:lvlText w:val="%9."/>
      <w:lvlJc w:val="right"/>
      <w:pPr>
        <w:ind w:left="6906" w:hanging="180"/>
      </w:pPr>
    </w:lvl>
  </w:abstractNum>
  <w:abstractNum w:abstractNumId="13">
    <w:nsid w:val="346D695F"/>
    <w:multiLevelType w:val="hybridMultilevel"/>
    <w:tmpl w:val="CDC0E52A"/>
    <w:lvl w:ilvl="0" w:tplc="045E058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240918"/>
    <w:multiLevelType w:val="hybridMultilevel"/>
    <w:tmpl w:val="20A81648"/>
    <w:lvl w:ilvl="0" w:tplc="BAA26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11F55"/>
    <w:multiLevelType w:val="hybridMultilevel"/>
    <w:tmpl w:val="58DC892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6">
    <w:nsid w:val="537279E6"/>
    <w:multiLevelType w:val="hybridMultilevel"/>
    <w:tmpl w:val="7F4C21CC"/>
    <w:lvl w:ilvl="0" w:tplc="08090001">
      <w:start w:val="1"/>
      <w:numFmt w:val="bullet"/>
      <w:lvlText w:val=""/>
      <w:lvlJc w:val="left"/>
      <w:pPr>
        <w:ind w:left="120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2648" w:hanging="360"/>
      </w:pPr>
      <w:rPr>
        <w:rFonts w:ascii="Wingdings" w:hAnsi="Wingdings" w:hint="default"/>
      </w:rPr>
    </w:lvl>
    <w:lvl w:ilvl="3" w:tplc="08090001" w:tentative="1">
      <w:start w:val="1"/>
      <w:numFmt w:val="bullet"/>
      <w:lvlText w:val=""/>
      <w:lvlJc w:val="left"/>
      <w:pPr>
        <w:ind w:left="3368" w:hanging="360"/>
      </w:pPr>
      <w:rPr>
        <w:rFonts w:ascii="Symbol" w:hAnsi="Symbol" w:hint="default"/>
      </w:rPr>
    </w:lvl>
    <w:lvl w:ilvl="4" w:tplc="08090003" w:tentative="1">
      <w:start w:val="1"/>
      <w:numFmt w:val="bullet"/>
      <w:lvlText w:val="o"/>
      <w:lvlJc w:val="left"/>
      <w:pPr>
        <w:ind w:left="4088" w:hanging="360"/>
      </w:pPr>
      <w:rPr>
        <w:rFonts w:ascii="Courier New" w:hAnsi="Courier New" w:cs="Courier New" w:hint="default"/>
      </w:rPr>
    </w:lvl>
    <w:lvl w:ilvl="5" w:tplc="08090005" w:tentative="1">
      <w:start w:val="1"/>
      <w:numFmt w:val="bullet"/>
      <w:lvlText w:val=""/>
      <w:lvlJc w:val="left"/>
      <w:pPr>
        <w:ind w:left="4808" w:hanging="360"/>
      </w:pPr>
      <w:rPr>
        <w:rFonts w:ascii="Wingdings" w:hAnsi="Wingdings" w:hint="default"/>
      </w:rPr>
    </w:lvl>
    <w:lvl w:ilvl="6" w:tplc="08090001" w:tentative="1">
      <w:start w:val="1"/>
      <w:numFmt w:val="bullet"/>
      <w:lvlText w:val=""/>
      <w:lvlJc w:val="left"/>
      <w:pPr>
        <w:ind w:left="5528" w:hanging="360"/>
      </w:pPr>
      <w:rPr>
        <w:rFonts w:ascii="Symbol" w:hAnsi="Symbol" w:hint="default"/>
      </w:rPr>
    </w:lvl>
    <w:lvl w:ilvl="7" w:tplc="08090003" w:tentative="1">
      <w:start w:val="1"/>
      <w:numFmt w:val="bullet"/>
      <w:lvlText w:val="o"/>
      <w:lvlJc w:val="left"/>
      <w:pPr>
        <w:ind w:left="6248" w:hanging="360"/>
      </w:pPr>
      <w:rPr>
        <w:rFonts w:ascii="Courier New" w:hAnsi="Courier New" w:cs="Courier New" w:hint="default"/>
      </w:rPr>
    </w:lvl>
    <w:lvl w:ilvl="8" w:tplc="08090005" w:tentative="1">
      <w:start w:val="1"/>
      <w:numFmt w:val="bullet"/>
      <w:lvlText w:val=""/>
      <w:lvlJc w:val="left"/>
      <w:pPr>
        <w:ind w:left="6968" w:hanging="360"/>
      </w:pPr>
      <w:rPr>
        <w:rFonts w:ascii="Wingdings" w:hAnsi="Wingdings" w:hint="default"/>
      </w:rPr>
    </w:lvl>
  </w:abstractNum>
  <w:abstractNum w:abstractNumId="17">
    <w:nsid w:val="5839537B"/>
    <w:multiLevelType w:val="hybridMultilevel"/>
    <w:tmpl w:val="A696470A"/>
    <w:lvl w:ilvl="0" w:tplc="08090001">
      <w:numFmt w:val="bullet"/>
      <w:lvlText w:val=""/>
      <w:lvlJc w:val="left"/>
      <w:pPr>
        <w:ind w:left="1500" w:hanging="360"/>
      </w:pPr>
      <w:rPr>
        <w:rFonts w:ascii="Symbol" w:eastAsia="Times New Roman"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5A373644"/>
    <w:multiLevelType w:val="hybridMultilevel"/>
    <w:tmpl w:val="4C2C86C0"/>
    <w:lvl w:ilvl="0" w:tplc="7354C140">
      <w:start w:val="4"/>
      <w:numFmt w:val="bullet"/>
      <w:lvlText w:val=""/>
      <w:lvlJc w:val="left"/>
      <w:pPr>
        <w:ind w:left="720" w:hanging="360"/>
      </w:pPr>
      <w:rPr>
        <w:rFonts w:ascii="Symbol" w:eastAsia="SymbolMT"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6444B1"/>
    <w:multiLevelType w:val="hybridMultilevel"/>
    <w:tmpl w:val="DF207B02"/>
    <w:lvl w:ilvl="0" w:tplc="BED69E2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F779A6"/>
    <w:multiLevelType w:val="singleLevel"/>
    <w:tmpl w:val="C4347D46"/>
    <w:lvl w:ilvl="0">
      <w:start w:val="1"/>
      <w:numFmt w:val="decimal"/>
      <w:lvlRestart w:val="0"/>
      <w:pStyle w:val="Considrant"/>
      <w:lvlText w:val="(%1)"/>
      <w:lvlJc w:val="left"/>
      <w:pPr>
        <w:tabs>
          <w:tab w:val="num" w:pos="709"/>
        </w:tabs>
        <w:ind w:left="709" w:hanging="709"/>
      </w:pPr>
    </w:lvl>
  </w:abstractNum>
  <w:abstractNum w:abstractNumId="21">
    <w:nsid w:val="63656A69"/>
    <w:multiLevelType w:val="hybridMultilevel"/>
    <w:tmpl w:val="DA88226E"/>
    <w:lvl w:ilvl="0" w:tplc="DD1C071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274329"/>
    <w:multiLevelType w:val="hybridMultilevel"/>
    <w:tmpl w:val="C9BCE982"/>
    <w:lvl w:ilvl="0" w:tplc="3EFC9828">
      <w:start w:val="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840187"/>
    <w:multiLevelType w:val="hybridMultilevel"/>
    <w:tmpl w:val="F9D2BA26"/>
    <w:lvl w:ilvl="0" w:tplc="0AA4AD3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52A51"/>
    <w:multiLevelType w:val="hybridMultilevel"/>
    <w:tmpl w:val="FC0260B0"/>
    <w:lvl w:ilvl="0" w:tplc="EDC40C88">
      <w:start w:val="6"/>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E0F0DD2"/>
    <w:multiLevelType w:val="hybridMultilevel"/>
    <w:tmpl w:val="D10090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F097F71"/>
    <w:multiLevelType w:val="hybridMultilevel"/>
    <w:tmpl w:val="B40834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6F222FB5"/>
    <w:multiLevelType w:val="multilevel"/>
    <w:tmpl w:val="12F45A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CA76E10"/>
    <w:multiLevelType w:val="hybridMultilevel"/>
    <w:tmpl w:val="5782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362BFD"/>
    <w:multiLevelType w:val="hybridMultilevel"/>
    <w:tmpl w:val="A546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0"/>
  </w:num>
  <w:num w:numId="4">
    <w:abstractNumId w:val="27"/>
  </w:num>
  <w:num w:numId="5">
    <w:abstractNumId w:val="3"/>
  </w:num>
  <w:num w:numId="6">
    <w:abstractNumId w:val="18"/>
  </w:num>
  <w:num w:numId="7">
    <w:abstractNumId w:val="22"/>
  </w:num>
  <w:num w:numId="8">
    <w:abstractNumId w:val="7"/>
  </w:num>
  <w:num w:numId="9">
    <w:abstractNumId w:val="23"/>
  </w:num>
  <w:num w:numId="10">
    <w:abstractNumId w:val="29"/>
  </w:num>
  <w:num w:numId="11">
    <w:abstractNumId w:val="11"/>
  </w:num>
  <w:num w:numId="12">
    <w:abstractNumId w:val="14"/>
  </w:num>
  <w:num w:numId="13">
    <w:abstractNumId w:val="28"/>
  </w:num>
  <w:num w:numId="14">
    <w:abstractNumId w:val="9"/>
  </w:num>
  <w:num w:numId="15">
    <w:abstractNumId w:val="2"/>
  </w:num>
  <w:num w:numId="16">
    <w:abstractNumId w:val="21"/>
  </w:num>
  <w:num w:numId="17">
    <w:abstractNumId w:val="5"/>
  </w:num>
  <w:num w:numId="18">
    <w:abstractNumId w:val="4"/>
  </w:num>
  <w:num w:numId="19">
    <w:abstractNumId w:val="15"/>
  </w:num>
  <w:num w:numId="20">
    <w:abstractNumId w:val="26"/>
  </w:num>
  <w:num w:numId="21">
    <w:abstractNumId w:val="17"/>
  </w:num>
  <w:num w:numId="22">
    <w:abstractNumId w:val="1"/>
  </w:num>
  <w:num w:numId="23">
    <w:abstractNumId w:val="16"/>
  </w:num>
  <w:num w:numId="24">
    <w:abstractNumId w:val="10"/>
  </w:num>
  <w:num w:numId="25">
    <w:abstractNumId w:val="25"/>
  </w:num>
  <w:num w:numId="26">
    <w:abstractNumId w:val="6"/>
  </w:num>
  <w:num w:numId="27">
    <w:abstractNumId w:val="19"/>
  </w:num>
  <w:num w:numId="28">
    <w:abstractNumId w:val="24"/>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D9"/>
    <w:rsid w:val="000025D9"/>
    <w:rsid w:val="00003BE2"/>
    <w:rsid w:val="000056CD"/>
    <w:rsid w:val="00011912"/>
    <w:rsid w:val="0001380F"/>
    <w:rsid w:val="00015367"/>
    <w:rsid w:val="00017666"/>
    <w:rsid w:val="00021352"/>
    <w:rsid w:val="00023D46"/>
    <w:rsid w:val="00025A08"/>
    <w:rsid w:val="00026609"/>
    <w:rsid w:val="00026D3C"/>
    <w:rsid w:val="00033787"/>
    <w:rsid w:val="000339AB"/>
    <w:rsid w:val="00035A6D"/>
    <w:rsid w:val="00036CF2"/>
    <w:rsid w:val="000375FD"/>
    <w:rsid w:val="0004160A"/>
    <w:rsid w:val="0004360B"/>
    <w:rsid w:val="00044D01"/>
    <w:rsid w:val="000478F4"/>
    <w:rsid w:val="00052FD2"/>
    <w:rsid w:val="00066263"/>
    <w:rsid w:val="00067326"/>
    <w:rsid w:val="00082C3F"/>
    <w:rsid w:val="000839A6"/>
    <w:rsid w:val="00084DE6"/>
    <w:rsid w:val="0008601B"/>
    <w:rsid w:val="0008756E"/>
    <w:rsid w:val="00087979"/>
    <w:rsid w:val="0009010F"/>
    <w:rsid w:val="0009387C"/>
    <w:rsid w:val="000A0A3B"/>
    <w:rsid w:val="000B36D1"/>
    <w:rsid w:val="000C4D37"/>
    <w:rsid w:val="000C5066"/>
    <w:rsid w:val="000D3E2C"/>
    <w:rsid w:val="000E77E7"/>
    <w:rsid w:val="000F0AA8"/>
    <w:rsid w:val="000F1D0E"/>
    <w:rsid w:val="000F207A"/>
    <w:rsid w:val="000F2420"/>
    <w:rsid w:val="000F4FB5"/>
    <w:rsid w:val="00110CCA"/>
    <w:rsid w:val="00113DC9"/>
    <w:rsid w:val="00115D19"/>
    <w:rsid w:val="00127CE1"/>
    <w:rsid w:val="0013257D"/>
    <w:rsid w:val="00140832"/>
    <w:rsid w:val="00142025"/>
    <w:rsid w:val="001552A7"/>
    <w:rsid w:val="00165960"/>
    <w:rsid w:val="00186B04"/>
    <w:rsid w:val="00187B81"/>
    <w:rsid w:val="001A07F9"/>
    <w:rsid w:val="001A2E20"/>
    <w:rsid w:val="001B225C"/>
    <w:rsid w:val="001B7B78"/>
    <w:rsid w:val="001C0BB1"/>
    <w:rsid w:val="001C252C"/>
    <w:rsid w:val="001D1406"/>
    <w:rsid w:val="001D6E29"/>
    <w:rsid w:val="001E2172"/>
    <w:rsid w:val="001E7399"/>
    <w:rsid w:val="002001F1"/>
    <w:rsid w:val="00203FCE"/>
    <w:rsid w:val="00225B96"/>
    <w:rsid w:val="00227312"/>
    <w:rsid w:val="0023094E"/>
    <w:rsid w:val="002311B7"/>
    <w:rsid w:val="0023364B"/>
    <w:rsid w:val="00233DE4"/>
    <w:rsid w:val="0023606C"/>
    <w:rsid w:val="0024405E"/>
    <w:rsid w:val="0024560A"/>
    <w:rsid w:val="00257C41"/>
    <w:rsid w:val="00266964"/>
    <w:rsid w:val="002733FD"/>
    <w:rsid w:val="00275972"/>
    <w:rsid w:val="00276D05"/>
    <w:rsid w:val="00290A00"/>
    <w:rsid w:val="00294219"/>
    <w:rsid w:val="002952D1"/>
    <w:rsid w:val="002A1073"/>
    <w:rsid w:val="002A1674"/>
    <w:rsid w:val="002B3A80"/>
    <w:rsid w:val="002B3B62"/>
    <w:rsid w:val="002B404F"/>
    <w:rsid w:val="002C0E39"/>
    <w:rsid w:val="002D2DE0"/>
    <w:rsid w:val="002D56D0"/>
    <w:rsid w:val="002D6F3B"/>
    <w:rsid w:val="002D7CBA"/>
    <w:rsid w:val="002D7F91"/>
    <w:rsid w:val="002F00D6"/>
    <w:rsid w:val="002F1A27"/>
    <w:rsid w:val="002F35BD"/>
    <w:rsid w:val="002F6733"/>
    <w:rsid w:val="00301F81"/>
    <w:rsid w:val="0032405E"/>
    <w:rsid w:val="00332AC3"/>
    <w:rsid w:val="00332F30"/>
    <w:rsid w:val="00335BEF"/>
    <w:rsid w:val="00341A21"/>
    <w:rsid w:val="0034248B"/>
    <w:rsid w:val="00346239"/>
    <w:rsid w:val="003470A6"/>
    <w:rsid w:val="003527A8"/>
    <w:rsid w:val="00357DDF"/>
    <w:rsid w:val="003633EA"/>
    <w:rsid w:val="0037391E"/>
    <w:rsid w:val="00380A7B"/>
    <w:rsid w:val="003813D1"/>
    <w:rsid w:val="0038153B"/>
    <w:rsid w:val="003829AE"/>
    <w:rsid w:val="00384841"/>
    <w:rsid w:val="003856ED"/>
    <w:rsid w:val="00387D8F"/>
    <w:rsid w:val="00391DBC"/>
    <w:rsid w:val="00394BBC"/>
    <w:rsid w:val="00397D23"/>
    <w:rsid w:val="003A0357"/>
    <w:rsid w:val="003A2471"/>
    <w:rsid w:val="003A452F"/>
    <w:rsid w:val="003A62CC"/>
    <w:rsid w:val="003B0187"/>
    <w:rsid w:val="003B7A52"/>
    <w:rsid w:val="003C0A0C"/>
    <w:rsid w:val="003D0C54"/>
    <w:rsid w:val="003D0EE7"/>
    <w:rsid w:val="003D2152"/>
    <w:rsid w:val="003D2D1B"/>
    <w:rsid w:val="003D5B4D"/>
    <w:rsid w:val="00401D93"/>
    <w:rsid w:val="0041606F"/>
    <w:rsid w:val="00431966"/>
    <w:rsid w:val="004371D6"/>
    <w:rsid w:val="00442E51"/>
    <w:rsid w:val="004456A0"/>
    <w:rsid w:val="00447C9C"/>
    <w:rsid w:val="00451F32"/>
    <w:rsid w:val="00460021"/>
    <w:rsid w:val="00461A2F"/>
    <w:rsid w:val="00462726"/>
    <w:rsid w:val="004638BD"/>
    <w:rsid w:val="00466637"/>
    <w:rsid w:val="004702C4"/>
    <w:rsid w:val="0047177B"/>
    <w:rsid w:val="004748EF"/>
    <w:rsid w:val="0047516E"/>
    <w:rsid w:val="00476D2A"/>
    <w:rsid w:val="00477645"/>
    <w:rsid w:val="00482756"/>
    <w:rsid w:val="004870B0"/>
    <w:rsid w:val="00491211"/>
    <w:rsid w:val="004A52AA"/>
    <w:rsid w:val="004A5BBE"/>
    <w:rsid w:val="004A6FCB"/>
    <w:rsid w:val="004B1553"/>
    <w:rsid w:val="004B3BFE"/>
    <w:rsid w:val="004C7351"/>
    <w:rsid w:val="004C78F5"/>
    <w:rsid w:val="004D0F32"/>
    <w:rsid w:val="004D6B31"/>
    <w:rsid w:val="004D79B0"/>
    <w:rsid w:val="004D7C44"/>
    <w:rsid w:val="004E4D20"/>
    <w:rsid w:val="004E7AEE"/>
    <w:rsid w:val="004F2FFB"/>
    <w:rsid w:val="004F5B57"/>
    <w:rsid w:val="00513E6D"/>
    <w:rsid w:val="0052341E"/>
    <w:rsid w:val="005257E9"/>
    <w:rsid w:val="00525FEF"/>
    <w:rsid w:val="00534299"/>
    <w:rsid w:val="00542CDF"/>
    <w:rsid w:val="005461D1"/>
    <w:rsid w:val="005471B1"/>
    <w:rsid w:val="0055792A"/>
    <w:rsid w:val="0056764B"/>
    <w:rsid w:val="005745F9"/>
    <w:rsid w:val="005900A0"/>
    <w:rsid w:val="005903D0"/>
    <w:rsid w:val="005A0FFC"/>
    <w:rsid w:val="005A63DF"/>
    <w:rsid w:val="005B02CF"/>
    <w:rsid w:val="005B3CD7"/>
    <w:rsid w:val="005B4997"/>
    <w:rsid w:val="005B7857"/>
    <w:rsid w:val="005C755A"/>
    <w:rsid w:val="005D1E61"/>
    <w:rsid w:val="005D5F50"/>
    <w:rsid w:val="005F6851"/>
    <w:rsid w:val="006005F5"/>
    <w:rsid w:val="00613C1D"/>
    <w:rsid w:val="00613C94"/>
    <w:rsid w:val="00613E78"/>
    <w:rsid w:val="00616C85"/>
    <w:rsid w:val="00617287"/>
    <w:rsid w:val="00621901"/>
    <w:rsid w:val="00622F49"/>
    <w:rsid w:val="00627F2D"/>
    <w:rsid w:val="0063362E"/>
    <w:rsid w:val="006339F6"/>
    <w:rsid w:val="00633CA7"/>
    <w:rsid w:val="0063430F"/>
    <w:rsid w:val="00650132"/>
    <w:rsid w:val="00654B58"/>
    <w:rsid w:val="006579BC"/>
    <w:rsid w:val="00657DD2"/>
    <w:rsid w:val="00662CCB"/>
    <w:rsid w:val="00666FC6"/>
    <w:rsid w:val="00671C3E"/>
    <w:rsid w:val="00672AEB"/>
    <w:rsid w:val="00676AAE"/>
    <w:rsid w:val="00690D62"/>
    <w:rsid w:val="006964A5"/>
    <w:rsid w:val="00696721"/>
    <w:rsid w:val="006A0D23"/>
    <w:rsid w:val="006A618E"/>
    <w:rsid w:val="006B2023"/>
    <w:rsid w:val="006B7AE7"/>
    <w:rsid w:val="006C61A8"/>
    <w:rsid w:val="006D408D"/>
    <w:rsid w:val="006D636F"/>
    <w:rsid w:val="006E2189"/>
    <w:rsid w:val="006F226E"/>
    <w:rsid w:val="006F4B5C"/>
    <w:rsid w:val="00707A11"/>
    <w:rsid w:val="00712774"/>
    <w:rsid w:val="0071686A"/>
    <w:rsid w:val="00721D78"/>
    <w:rsid w:val="0072595B"/>
    <w:rsid w:val="00735CD7"/>
    <w:rsid w:val="00744AA6"/>
    <w:rsid w:val="00745E9E"/>
    <w:rsid w:val="00750705"/>
    <w:rsid w:val="00751CA4"/>
    <w:rsid w:val="00756B00"/>
    <w:rsid w:val="0076243A"/>
    <w:rsid w:val="00763473"/>
    <w:rsid w:val="00770491"/>
    <w:rsid w:val="00770EEB"/>
    <w:rsid w:val="0077140F"/>
    <w:rsid w:val="00773CC0"/>
    <w:rsid w:val="00777FED"/>
    <w:rsid w:val="00783D3C"/>
    <w:rsid w:val="007929EA"/>
    <w:rsid w:val="00795654"/>
    <w:rsid w:val="007A6242"/>
    <w:rsid w:val="007A69FB"/>
    <w:rsid w:val="007B0C2E"/>
    <w:rsid w:val="007C0C76"/>
    <w:rsid w:val="007C2D70"/>
    <w:rsid w:val="007C2DFE"/>
    <w:rsid w:val="007C4CB9"/>
    <w:rsid w:val="007C780B"/>
    <w:rsid w:val="007D5489"/>
    <w:rsid w:val="007F397C"/>
    <w:rsid w:val="007F6388"/>
    <w:rsid w:val="007F6CE2"/>
    <w:rsid w:val="007F6FC6"/>
    <w:rsid w:val="00801BC9"/>
    <w:rsid w:val="00802B8B"/>
    <w:rsid w:val="0080377A"/>
    <w:rsid w:val="008054F9"/>
    <w:rsid w:val="00806579"/>
    <w:rsid w:val="008200AF"/>
    <w:rsid w:val="00823DD4"/>
    <w:rsid w:val="008253FB"/>
    <w:rsid w:val="00830A61"/>
    <w:rsid w:val="008324FE"/>
    <w:rsid w:val="00832B30"/>
    <w:rsid w:val="00834A6C"/>
    <w:rsid w:val="00835E72"/>
    <w:rsid w:val="00836B95"/>
    <w:rsid w:val="0084147B"/>
    <w:rsid w:val="00851339"/>
    <w:rsid w:val="00852D04"/>
    <w:rsid w:val="0085594C"/>
    <w:rsid w:val="008623E6"/>
    <w:rsid w:val="00863875"/>
    <w:rsid w:val="0086445E"/>
    <w:rsid w:val="00870149"/>
    <w:rsid w:val="00877024"/>
    <w:rsid w:val="00884475"/>
    <w:rsid w:val="00892FD1"/>
    <w:rsid w:val="00897BA6"/>
    <w:rsid w:val="00897F87"/>
    <w:rsid w:val="008B6E59"/>
    <w:rsid w:val="008C5382"/>
    <w:rsid w:val="008C5A8D"/>
    <w:rsid w:val="008D5F13"/>
    <w:rsid w:val="008E10B3"/>
    <w:rsid w:val="008E18F0"/>
    <w:rsid w:val="008E1955"/>
    <w:rsid w:val="008E21B8"/>
    <w:rsid w:val="008E79D7"/>
    <w:rsid w:val="008F1576"/>
    <w:rsid w:val="008F207A"/>
    <w:rsid w:val="00902A9E"/>
    <w:rsid w:val="0091083C"/>
    <w:rsid w:val="009119EE"/>
    <w:rsid w:val="00913E60"/>
    <w:rsid w:val="00915AD4"/>
    <w:rsid w:val="00921A8B"/>
    <w:rsid w:val="00923E35"/>
    <w:rsid w:val="00927637"/>
    <w:rsid w:val="0093054B"/>
    <w:rsid w:val="00946D9D"/>
    <w:rsid w:val="00955B07"/>
    <w:rsid w:val="00962440"/>
    <w:rsid w:val="0096305C"/>
    <w:rsid w:val="00964274"/>
    <w:rsid w:val="009672D9"/>
    <w:rsid w:val="00970220"/>
    <w:rsid w:val="00977D46"/>
    <w:rsid w:val="00980FB7"/>
    <w:rsid w:val="0099260D"/>
    <w:rsid w:val="0099357B"/>
    <w:rsid w:val="0099552E"/>
    <w:rsid w:val="009A273A"/>
    <w:rsid w:val="009A6779"/>
    <w:rsid w:val="009A7C79"/>
    <w:rsid w:val="009B3AAE"/>
    <w:rsid w:val="009B41E5"/>
    <w:rsid w:val="009C36E8"/>
    <w:rsid w:val="009D3219"/>
    <w:rsid w:val="009D40D9"/>
    <w:rsid w:val="009D7285"/>
    <w:rsid w:val="009E1773"/>
    <w:rsid w:val="009F107A"/>
    <w:rsid w:val="00A1118B"/>
    <w:rsid w:val="00A12185"/>
    <w:rsid w:val="00A154A1"/>
    <w:rsid w:val="00A22EEB"/>
    <w:rsid w:val="00A249A3"/>
    <w:rsid w:val="00A5574E"/>
    <w:rsid w:val="00A563A3"/>
    <w:rsid w:val="00A5780D"/>
    <w:rsid w:val="00A5789D"/>
    <w:rsid w:val="00A60886"/>
    <w:rsid w:val="00A77D63"/>
    <w:rsid w:val="00A93027"/>
    <w:rsid w:val="00A93ADE"/>
    <w:rsid w:val="00A9715D"/>
    <w:rsid w:val="00A97E18"/>
    <w:rsid w:val="00AA0D89"/>
    <w:rsid w:val="00AA2053"/>
    <w:rsid w:val="00AA7FC2"/>
    <w:rsid w:val="00AB132D"/>
    <w:rsid w:val="00AB33EE"/>
    <w:rsid w:val="00AC0842"/>
    <w:rsid w:val="00AC1332"/>
    <w:rsid w:val="00AC466D"/>
    <w:rsid w:val="00AC4F0F"/>
    <w:rsid w:val="00AD18F3"/>
    <w:rsid w:val="00AD49AF"/>
    <w:rsid w:val="00AD69AB"/>
    <w:rsid w:val="00AD6E7C"/>
    <w:rsid w:val="00AE0094"/>
    <w:rsid w:val="00AE00CC"/>
    <w:rsid w:val="00AF24CB"/>
    <w:rsid w:val="00AF46EF"/>
    <w:rsid w:val="00AF5F63"/>
    <w:rsid w:val="00AF68C7"/>
    <w:rsid w:val="00B020C8"/>
    <w:rsid w:val="00B0362C"/>
    <w:rsid w:val="00B04A17"/>
    <w:rsid w:val="00B05B32"/>
    <w:rsid w:val="00B130C9"/>
    <w:rsid w:val="00B13C2D"/>
    <w:rsid w:val="00B15D61"/>
    <w:rsid w:val="00B20AF3"/>
    <w:rsid w:val="00B23A5B"/>
    <w:rsid w:val="00B23D4C"/>
    <w:rsid w:val="00B24D85"/>
    <w:rsid w:val="00B277E7"/>
    <w:rsid w:val="00B30911"/>
    <w:rsid w:val="00B51517"/>
    <w:rsid w:val="00B52A1C"/>
    <w:rsid w:val="00B743CE"/>
    <w:rsid w:val="00B84F21"/>
    <w:rsid w:val="00B90266"/>
    <w:rsid w:val="00B9215B"/>
    <w:rsid w:val="00B95C3A"/>
    <w:rsid w:val="00B96176"/>
    <w:rsid w:val="00B962D3"/>
    <w:rsid w:val="00BA5C92"/>
    <w:rsid w:val="00BB26EC"/>
    <w:rsid w:val="00BC417F"/>
    <w:rsid w:val="00BC5466"/>
    <w:rsid w:val="00BD55D1"/>
    <w:rsid w:val="00BF28C7"/>
    <w:rsid w:val="00C03201"/>
    <w:rsid w:val="00C032DC"/>
    <w:rsid w:val="00C05C8F"/>
    <w:rsid w:val="00C061A8"/>
    <w:rsid w:val="00C11AFC"/>
    <w:rsid w:val="00C17474"/>
    <w:rsid w:val="00C22938"/>
    <w:rsid w:val="00C23B09"/>
    <w:rsid w:val="00C242A0"/>
    <w:rsid w:val="00C26832"/>
    <w:rsid w:val="00C33741"/>
    <w:rsid w:val="00C345E6"/>
    <w:rsid w:val="00C35605"/>
    <w:rsid w:val="00C3577A"/>
    <w:rsid w:val="00C35C6E"/>
    <w:rsid w:val="00C41B87"/>
    <w:rsid w:val="00C4341F"/>
    <w:rsid w:val="00C46546"/>
    <w:rsid w:val="00C560FF"/>
    <w:rsid w:val="00C57678"/>
    <w:rsid w:val="00C72C1C"/>
    <w:rsid w:val="00C76744"/>
    <w:rsid w:val="00C93CC5"/>
    <w:rsid w:val="00C94904"/>
    <w:rsid w:val="00C962AE"/>
    <w:rsid w:val="00C97530"/>
    <w:rsid w:val="00CA0836"/>
    <w:rsid w:val="00CB07CF"/>
    <w:rsid w:val="00CD08B4"/>
    <w:rsid w:val="00CD5EE6"/>
    <w:rsid w:val="00CE7548"/>
    <w:rsid w:val="00CF334D"/>
    <w:rsid w:val="00CF5FBC"/>
    <w:rsid w:val="00CF64A6"/>
    <w:rsid w:val="00D06A6D"/>
    <w:rsid w:val="00D1716B"/>
    <w:rsid w:val="00D22FEA"/>
    <w:rsid w:val="00D35035"/>
    <w:rsid w:val="00D35114"/>
    <w:rsid w:val="00D370CF"/>
    <w:rsid w:val="00D42D93"/>
    <w:rsid w:val="00D442AA"/>
    <w:rsid w:val="00D46DF1"/>
    <w:rsid w:val="00D53008"/>
    <w:rsid w:val="00D65274"/>
    <w:rsid w:val="00D7200F"/>
    <w:rsid w:val="00D72AD3"/>
    <w:rsid w:val="00D75228"/>
    <w:rsid w:val="00D839B9"/>
    <w:rsid w:val="00D912DF"/>
    <w:rsid w:val="00D9190D"/>
    <w:rsid w:val="00DA0B95"/>
    <w:rsid w:val="00DA3FB5"/>
    <w:rsid w:val="00DB0ED3"/>
    <w:rsid w:val="00DB1E40"/>
    <w:rsid w:val="00DB56BD"/>
    <w:rsid w:val="00DC2EAD"/>
    <w:rsid w:val="00DC4F53"/>
    <w:rsid w:val="00DD228E"/>
    <w:rsid w:val="00DE1461"/>
    <w:rsid w:val="00DE62CE"/>
    <w:rsid w:val="00DE62D7"/>
    <w:rsid w:val="00DF710E"/>
    <w:rsid w:val="00E01A84"/>
    <w:rsid w:val="00E12CEA"/>
    <w:rsid w:val="00E225DF"/>
    <w:rsid w:val="00E34629"/>
    <w:rsid w:val="00E3462A"/>
    <w:rsid w:val="00E36651"/>
    <w:rsid w:val="00E42305"/>
    <w:rsid w:val="00E5517F"/>
    <w:rsid w:val="00E552AF"/>
    <w:rsid w:val="00E57245"/>
    <w:rsid w:val="00E62C7C"/>
    <w:rsid w:val="00E71614"/>
    <w:rsid w:val="00E72229"/>
    <w:rsid w:val="00E72E81"/>
    <w:rsid w:val="00E84800"/>
    <w:rsid w:val="00E8490B"/>
    <w:rsid w:val="00E86386"/>
    <w:rsid w:val="00E9189B"/>
    <w:rsid w:val="00E9561C"/>
    <w:rsid w:val="00E95E33"/>
    <w:rsid w:val="00E96CFF"/>
    <w:rsid w:val="00EA65E0"/>
    <w:rsid w:val="00EB122E"/>
    <w:rsid w:val="00EB42D0"/>
    <w:rsid w:val="00EB4C78"/>
    <w:rsid w:val="00EC2D29"/>
    <w:rsid w:val="00EC65F8"/>
    <w:rsid w:val="00ED4C91"/>
    <w:rsid w:val="00ED6818"/>
    <w:rsid w:val="00EE0E52"/>
    <w:rsid w:val="00EE18DE"/>
    <w:rsid w:val="00EE3584"/>
    <w:rsid w:val="00EE6948"/>
    <w:rsid w:val="00EF3B41"/>
    <w:rsid w:val="00EF53F5"/>
    <w:rsid w:val="00EF5CAC"/>
    <w:rsid w:val="00F038EE"/>
    <w:rsid w:val="00F0462E"/>
    <w:rsid w:val="00F13E2F"/>
    <w:rsid w:val="00F22C77"/>
    <w:rsid w:val="00F23547"/>
    <w:rsid w:val="00F27F4F"/>
    <w:rsid w:val="00F3089A"/>
    <w:rsid w:val="00F44580"/>
    <w:rsid w:val="00F47B93"/>
    <w:rsid w:val="00F51D9E"/>
    <w:rsid w:val="00F57F66"/>
    <w:rsid w:val="00F67511"/>
    <w:rsid w:val="00F71B73"/>
    <w:rsid w:val="00F7255C"/>
    <w:rsid w:val="00F81611"/>
    <w:rsid w:val="00F8647A"/>
    <w:rsid w:val="00F87E65"/>
    <w:rsid w:val="00F93037"/>
    <w:rsid w:val="00F94B5B"/>
    <w:rsid w:val="00F95A02"/>
    <w:rsid w:val="00F97755"/>
    <w:rsid w:val="00FA39D4"/>
    <w:rsid w:val="00FA4865"/>
    <w:rsid w:val="00FA69B1"/>
    <w:rsid w:val="00FB1F93"/>
    <w:rsid w:val="00FC4EA6"/>
    <w:rsid w:val="00FD3531"/>
    <w:rsid w:val="00FE3B85"/>
    <w:rsid w:val="00FF2013"/>
    <w:rsid w:val="00FF34AC"/>
    <w:rsid w:val="00FF5F91"/>
    <w:rsid w:val="00FF7346"/>
    <w:rsid w:val="00FF7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9AB"/>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339AB"/>
    <w:rPr>
      <w:i/>
      <w:iCs/>
    </w:rPr>
  </w:style>
  <w:style w:type="paragraph" w:styleId="ListParagraph">
    <w:name w:val="List Paragraph"/>
    <w:basedOn w:val="Normal"/>
    <w:uiPriority w:val="34"/>
    <w:qFormat/>
    <w:rsid w:val="00763473"/>
    <w:pPr>
      <w:ind w:left="720"/>
      <w:contextualSpacing/>
    </w:pPr>
    <w:rPr>
      <w:rFonts w:ascii="Calibri" w:eastAsia="Calibri" w:hAnsi="Calibri" w:cs="Calibri"/>
    </w:rPr>
  </w:style>
  <w:style w:type="paragraph" w:styleId="Caption">
    <w:name w:val="caption"/>
    <w:basedOn w:val="Normal"/>
    <w:uiPriority w:val="99"/>
    <w:qFormat/>
    <w:rsid w:val="00763473"/>
    <w:pPr>
      <w:keepNext/>
      <w:keepLines/>
      <w:spacing w:after="0" w:line="240" w:lineRule="auto"/>
    </w:pPr>
    <w:rPr>
      <w:rFonts w:ascii="Calibri" w:eastAsia="Calibri" w:hAnsi="Calibri" w:cs="Calibri"/>
      <w:b/>
      <w:bCs/>
    </w:rPr>
  </w:style>
  <w:style w:type="paragraph" w:styleId="NormalWeb">
    <w:name w:val="Normal (Web)"/>
    <w:basedOn w:val="Normal"/>
    <w:uiPriority w:val="99"/>
    <w:semiHidden/>
    <w:unhideWhenUsed/>
    <w:rsid w:val="00763473"/>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473"/>
    <w:rPr>
      <w:rFonts w:ascii="Tahoma" w:hAnsi="Tahoma" w:cs="Tahoma"/>
      <w:sz w:val="16"/>
      <w:szCs w:val="16"/>
    </w:rPr>
  </w:style>
  <w:style w:type="paragraph" w:customStyle="1" w:styleId="Default">
    <w:name w:val="Default"/>
    <w:rsid w:val="00F27F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D5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F50"/>
  </w:style>
  <w:style w:type="paragraph" w:styleId="Footer">
    <w:name w:val="footer"/>
    <w:basedOn w:val="Normal"/>
    <w:link w:val="FooterChar"/>
    <w:uiPriority w:val="99"/>
    <w:unhideWhenUsed/>
    <w:rsid w:val="005D5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50"/>
  </w:style>
  <w:style w:type="character" w:styleId="FootnoteReference">
    <w:name w:val="footnote reference"/>
    <w:aliases w:val="ftref,Normal + Font:9 Point,Superscript 3 Point Times,Footnote Reference Number,Footnote Reference_LVL6,C26 Footnote Number"/>
    <w:basedOn w:val="DefaultParagraphFont"/>
    <w:uiPriority w:val="99"/>
    <w:semiHidden/>
    <w:rsid w:val="003D2152"/>
    <w:rPr>
      <w:vertAlign w:val="superscript"/>
    </w:rPr>
  </w:style>
  <w:style w:type="paragraph" w:styleId="FootnoteText">
    <w:name w:val="footnote text"/>
    <w:aliases w:val="Footnote Text Char1 Char,Footnote Text Char Char Char,Footnote Text Char1,Footnote Text Char1 Char1 Char,Footnote Text Char Char Char1 Char,Footnote Text Char1 Char Char Char1 Char,fn Char,Char,single space,ADB,fn,ft,FOOTNOTES"/>
    <w:basedOn w:val="Normal"/>
    <w:link w:val="FootnoteTextChar2"/>
    <w:semiHidden/>
    <w:rsid w:val="003D2152"/>
    <w:pPr>
      <w:tabs>
        <w:tab w:val="left" w:pos="288"/>
      </w:tabs>
      <w:spacing w:after="40" w:line="240" w:lineRule="auto"/>
      <w:ind w:left="288" w:hanging="288"/>
    </w:pPr>
    <w:rPr>
      <w:rFonts w:ascii="Calibri" w:eastAsia="Calibri" w:hAnsi="Calibri" w:cs="Calibri"/>
      <w:sz w:val="18"/>
      <w:szCs w:val="18"/>
    </w:rPr>
  </w:style>
  <w:style w:type="character" w:customStyle="1" w:styleId="FootnoteTextChar">
    <w:name w:val="Footnote Text Char"/>
    <w:basedOn w:val="DefaultParagraphFont"/>
    <w:uiPriority w:val="99"/>
    <w:semiHidden/>
    <w:rsid w:val="003D2152"/>
    <w:rPr>
      <w:sz w:val="20"/>
      <w:szCs w:val="20"/>
    </w:rPr>
  </w:style>
  <w:style w:type="character" w:customStyle="1" w:styleId="FootnoteTextChar2">
    <w:name w:val="Footnote Text Char2"/>
    <w:aliases w:val="Footnote Text Char1 Char Char,Footnote Text Char Char Char Char,Footnote Text Char1 Char1,Footnote Text Char1 Char1 Char Char,Footnote Text Char Char Char1 Char Char,Footnote Text Char1 Char Char Char1 Char Char,fn Char Char,ADB Char"/>
    <w:basedOn w:val="DefaultParagraphFont"/>
    <w:link w:val="FootnoteText"/>
    <w:semiHidden/>
    <w:rsid w:val="003D2152"/>
    <w:rPr>
      <w:rFonts w:ascii="Calibri" w:eastAsia="Calibri" w:hAnsi="Calibri" w:cs="Calibri"/>
      <w:sz w:val="18"/>
      <w:szCs w:val="18"/>
      <w:lang w:val="en-GB"/>
    </w:rPr>
  </w:style>
  <w:style w:type="paragraph" w:customStyle="1" w:styleId="Considrant">
    <w:name w:val="Considérant"/>
    <w:basedOn w:val="Normal"/>
    <w:uiPriority w:val="99"/>
    <w:rsid w:val="00AD49AF"/>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756B00"/>
    <w:rPr>
      <w:color w:val="0000FF" w:themeColor="hyperlink"/>
      <w:u w:val="single"/>
    </w:rPr>
  </w:style>
  <w:style w:type="character" w:styleId="Strong">
    <w:name w:val="Strong"/>
    <w:basedOn w:val="DefaultParagraphFont"/>
    <w:uiPriority w:val="99"/>
    <w:qFormat/>
    <w:rsid w:val="00FE3B85"/>
    <w:rPr>
      <w:b/>
      <w:bCs/>
    </w:rPr>
  </w:style>
  <w:style w:type="paragraph" w:customStyle="1" w:styleId="Style1">
    <w:name w:val="Style1"/>
    <w:basedOn w:val="FootnoteText"/>
    <w:link w:val="Style1Char"/>
    <w:qFormat/>
    <w:rsid w:val="00735CD7"/>
    <w:pPr>
      <w:tabs>
        <w:tab w:val="clear" w:pos="288"/>
      </w:tabs>
      <w:spacing w:after="0"/>
      <w:ind w:left="0" w:firstLine="0"/>
    </w:pPr>
    <w:rPr>
      <w:rFonts w:ascii="Cambria" w:eastAsia="Times New Roman" w:hAnsi="Cambria" w:cs="Times New Roman"/>
      <w:szCs w:val="20"/>
      <w:lang w:eastAsia="en-US" w:bidi="en-US"/>
    </w:rPr>
  </w:style>
  <w:style w:type="character" w:customStyle="1" w:styleId="Style1Char">
    <w:name w:val="Style1 Char"/>
    <w:link w:val="Style1"/>
    <w:rsid w:val="00735CD7"/>
    <w:rPr>
      <w:rFonts w:ascii="Cambria" w:eastAsia="Times New Roman" w:hAnsi="Cambria" w:cs="Times New Roman"/>
      <w:sz w:val="18"/>
      <w:szCs w:val="2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39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9AB"/>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339AB"/>
    <w:rPr>
      <w:i/>
      <w:iCs/>
    </w:rPr>
  </w:style>
  <w:style w:type="paragraph" w:styleId="ListParagraph">
    <w:name w:val="List Paragraph"/>
    <w:basedOn w:val="Normal"/>
    <w:uiPriority w:val="34"/>
    <w:qFormat/>
    <w:rsid w:val="00763473"/>
    <w:pPr>
      <w:ind w:left="720"/>
      <w:contextualSpacing/>
    </w:pPr>
    <w:rPr>
      <w:rFonts w:ascii="Calibri" w:eastAsia="Calibri" w:hAnsi="Calibri" w:cs="Calibri"/>
    </w:rPr>
  </w:style>
  <w:style w:type="paragraph" w:styleId="Caption">
    <w:name w:val="caption"/>
    <w:basedOn w:val="Normal"/>
    <w:uiPriority w:val="99"/>
    <w:qFormat/>
    <w:rsid w:val="00763473"/>
    <w:pPr>
      <w:keepNext/>
      <w:keepLines/>
      <w:spacing w:after="0" w:line="240" w:lineRule="auto"/>
    </w:pPr>
    <w:rPr>
      <w:rFonts w:ascii="Calibri" w:eastAsia="Calibri" w:hAnsi="Calibri" w:cs="Calibri"/>
      <w:b/>
      <w:bCs/>
    </w:rPr>
  </w:style>
  <w:style w:type="paragraph" w:styleId="NormalWeb">
    <w:name w:val="Normal (Web)"/>
    <w:basedOn w:val="Normal"/>
    <w:uiPriority w:val="99"/>
    <w:semiHidden/>
    <w:unhideWhenUsed/>
    <w:rsid w:val="00763473"/>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473"/>
    <w:rPr>
      <w:rFonts w:ascii="Tahoma" w:hAnsi="Tahoma" w:cs="Tahoma"/>
      <w:sz w:val="16"/>
      <w:szCs w:val="16"/>
    </w:rPr>
  </w:style>
  <w:style w:type="paragraph" w:customStyle="1" w:styleId="Default">
    <w:name w:val="Default"/>
    <w:rsid w:val="00F27F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D5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F50"/>
  </w:style>
  <w:style w:type="paragraph" w:styleId="Footer">
    <w:name w:val="footer"/>
    <w:basedOn w:val="Normal"/>
    <w:link w:val="FooterChar"/>
    <w:uiPriority w:val="99"/>
    <w:unhideWhenUsed/>
    <w:rsid w:val="005D5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50"/>
  </w:style>
  <w:style w:type="character" w:styleId="FootnoteReference">
    <w:name w:val="footnote reference"/>
    <w:aliases w:val="ftref,Normal + Font:9 Point,Superscript 3 Point Times,Footnote Reference Number,Footnote Reference_LVL6,C26 Footnote Number"/>
    <w:basedOn w:val="DefaultParagraphFont"/>
    <w:uiPriority w:val="99"/>
    <w:semiHidden/>
    <w:rsid w:val="003D2152"/>
    <w:rPr>
      <w:vertAlign w:val="superscript"/>
    </w:rPr>
  </w:style>
  <w:style w:type="paragraph" w:styleId="FootnoteText">
    <w:name w:val="footnote text"/>
    <w:aliases w:val="Footnote Text Char1 Char,Footnote Text Char Char Char,Footnote Text Char1,Footnote Text Char1 Char1 Char,Footnote Text Char Char Char1 Char,Footnote Text Char1 Char Char Char1 Char,fn Char,Char,single space,ADB,fn,ft,FOOTNOTES"/>
    <w:basedOn w:val="Normal"/>
    <w:link w:val="FootnoteTextChar2"/>
    <w:semiHidden/>
    <w:rsid w:val="003D2152"/>
    <w:pPr>
      <w:tabs>
        <w:tab w:val="left" w:pos="288"/>
      </w:tabs>
      <w:spacing w:after="40" w:line="240" w:lineRule="auto"/>
      <w:ind w:left="288" w:hanging="288"/>
    </w:pPr>
    <w:rPr>
      <w:rFonts w:ascii="Calibri" w:eastAsia="Calibri" w:hAnsi="Calibri" w:cs="Calibri"/>
      <w:sz w:val="18"/>
      <w:szCs w:val="18"/>
    </w:rPr>
  </w:style>
  <w:style w:type="character" w:customStyle="1" w:styleId="FootnoteTextChar">
    <w:name w:val="Footnote Text Char"/>
    <w:basedOn w:val="DefaultParagraphFont"/>
    <w:uiPriority w:val="99"/>
    <w:semiHidden/>
    <w:rsid w:val="003D2152"/>
    <w:rPr>
      <w:sz w:val="20"/>
      <w:szCs w:val="20"/>
    </w:rPr>
  </w:style>
  <w:style w:type="character" w:customStyle="1" w:styleId="FootnoteTextChar2">
    <w:name w:val="Footnote Text Char2"/>
    <w:aliases w:val="Footnote Text Char1 Char Char,Footnote Text Char Char Char Char,Footnote Text Char1 Char1,Footnote Text Char1 Char1 Char Char,Footnote Text Char Char Char1 Char Char,Footnote Text Char1 Char Char Char1 Char Char,fn Char Char,ADB Char"/>
    <w:basedOn w:val="DefaultParagraphFont"/>
    <w:link w:val="FootnoteText"/>
    <w:semiHidden/>
    <w:rsid w:val="003D2152"/>
    <w:rPr>
      <w:rFonts w:ascii="Calibri" w:eastAsia="Calibri" w:hAnsi="Calibri" w:cs="Calibri"/>
      <w:sz w:val="18"/>
      <w:szCs w:val="18"/>
      <w:lang w:val="en-GB"/>
    </w:rPr>
  </w:style>
  <w:style w:type="paragraph" w:customStyle="1" w:styleId="Considrant">
    <w:name w:val="Considérant"/>
    <w:basedOn w:val="Normal"/>
    <w:uiPriority w:val="99"/>
    <w:rsid w:val="00AD49AF"/>
    <w:pPr>
      <w:numPr>
        <w:numId w:val="3"/>
      </w:numPr>
      <w:spacing w:before="120" w:after="120" w:line="240" w:lineRule="auto"/>
      <w:jc w:val="both"/>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756B00"/>
    <w:rPr>
      <w:color w:val="0000FF" w:themeColor="hyperlink"/>
      <w:u w:val="single"/>
    </w:rPr>
  </w:style>
  <w:style w:type="character" w:styleId="Strong">
    <w:name w:val="Strong"/>
    <w:basedOn w:val="DefaultParagraphFont"/>
    <w:uiPriority w:val="99"/>
    <w:qFormat/>
    <w:rsid w:val="00FE3B85"/>
    <w:rPr>
      <w:b/>
      <w:bCs/>
    </w:rPr>
  </w:style>
  <w:style w:type="paragraph" w:customStyle="1" w:styleId="Style1">
    <w:name w:val="Style1"/>
    <w:basedOn w:val="FootnoteText"/>
    <w:link w:val="Style1Char"/>
    <w:qFormat/>
    <w:rsid w:val="00735CD7"/>
    <w:pPr>
      <w:tabs>
        <w:tab w:val="clear" w:pos="288"/>
      </w:tabs>
      <w:spacing w:after="0"/>
      <w:ind w:left="0" w:firstLine="0"/>
    </w:pPr>
    <w:rPr>
      <w:rFonts w:ascii="Cambria" w:eastAsia="Times New Roman" w:hAnsi="Cambria" w:cs="Times New Roman"/>
      <w:szCs w:val="20"/>
      <w:lang w:eastAsia="en-US" w:bidi="en-US"/>
    </w:rPr>
  </w:style>
  <w:style w:type="character" w:customStyle="1" w:styleId="Style1Char">
    <w:name w:val="Style1 Char"/>
    <w:link w:val="Style1"/>
    <w:rsid w:val="00735CD7"/>
    <w:rPr>
      <w:rFonts w:ascii="Cambria" w:eastAsia="Times New Roman" w:hAnsi="Cambria" w:cs="Times New Roman"/>
      <w:sz w:val="18"/>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2602">
      <w:bodyDiv w:val="1"/>
      <w:marLeft w:val="0"/>
      <w:marRight w:val="0"/>
      <w:marTop w:val="0"/>
      <w:marBottom w:val="0"/>
      <w:divBdr>
        <w:top w:val="none" w:sz="0" w:space="0" w:color="auto"/>
        <w:left w:val="none" w:sz="0" w:space="0" w:color="auto"/>
        <w:bottom w:val="none" w:sz="0" w:space="0" w:color="auto"/>
        <w:right w:val="none" w:sz="0" w:space="0" w:color="auto"/>
      </w:divBdr>
    </w:div>
    <w:div w:id="219942909">
      <w:bodyDiv w:val="1"/>
      <w:marLeft w:val="0"/>
      <w:marRight w:val="0"/>
      <w:marTop w:val="0"/>
      <w:marBottom w:val="0"/>
      <w:divBdr>
        <w:top w:val="none" w:sz="0" w:space="0" w:color="auto"/>
        <w:left w:val="none" w:sz="0" w:space="0" w:color="auto"/>
        <w:bottom w:val="none" w:sz="0" w:space="0" w:color="auto"/>
        <w:right w:val="none" w:sz="0" w:space="0" w:color="auto"/>
      </w:divBdr>
    </w:div>
    <w:div w:id="760223136">
      <w:bodyDiv w:val="1"/>
      <w:marLeft w:val="0"/>
      <w:marRight w:val="0"/>
      <w:marTop w:val="0"/>
      <w:marBottom w:val="0"/>
      <w:divBdr>
        <w:top w:val="none" w:sz="0" w:space="0" w:color="auto"/>
        <w:left w:val="none" w:sz="0" w:space="0" w:color="auto"/>
        <w:bottom w:val="none" w:sz="0" w:space="0" w:color="auto"/>
        <w:right w:val="none" w:sz="0" w:space="0" w:color="auto"/>
      </w:divBdr>
    </w:div>
    <w:div w:id="865673255">
      <w:bodyDiv w:val="1"/>
      <w:marLeft w:val="0"/>
      <w:marRight w:val="0"/>
      <w:marTop w:val="0"/>
      <w:marBottom w:val="0"/>
      <w:divBdr>
        <w:top w:val="none" w:sz="0" w:space="0" w:color="auto"/>
        <w:left w:val="none" w:sz="0" w:space="0" w:color="auto"/>
        <w:bottom w:val="none" w:sz="0" w:space="0" w:color="auto"/>
        <w:right w:val="none" w:sz="0" w:space="0" w:color="auto"/>
      </w:divBdr>
    </w:div>
    <w:div w:id="888609504">
      <w:bodyDiv w:val="1"/>
      <w:marLeft w:val="0"/>
      <w:marRight w:val="0"/>
      <w:marTop w:val="0"/>
      <w:marBottom w:val="0"/>
      <w:divBdr>
        <w:top w:val="none" w:sz="0" w:space="0" w:color="auto"/>
        <w:left w:val="none" w:sz="0" w:space="0" w:color="auto"/>
        <w:bottom w:val="none" w:sz="0" w:space="0" w:color="auto"/>
        <w:right w:val="none" w:sz="0" w:space="0" w:color="auto"/>
      </w:divBdr>
    </w:div>
    <w:div w:id="1013649425">
      <w:bodyDiv w:val="1"/>
      <w:marLeft w:val="0"/>
      <w:marRight w:val="0"/>
      <w:marTop w:val="0"/>
      <w:marBottom w:val="0"/>
      <w:divBdr>
        <w:top w:val="none" w:sz="0" w:space="0" w:color="auto"/>
        <w:left w:val="none" w:sz="0" w:space="0" w:color="auto"/>
        <w:bottom w:val="none" w:sz="0" w:space="0" w:color="auto"/>
        <w:right w:val="none" w:sz="0" w:space="0" w:color="auto"/>
      </w:divBdr>
    </w:div>
    <w:div w:id="1289119176">
      <w:bodyDiv w:val="1"/>
      <w:marLeft w:val="0"/>
      <w:marRight w:val="0"/>
      <w:marTop w:val="0"/>
      <w:marBottom w:val="0"/>
      <w:divBdr>
        <w:top w:val="none" w:sz="0" w:space="0" w:color="auto"/>
        <w:left w:val="none" w:sz="0" w:space="0" w:color="auto"/>
        <w:bottom w:val="none" w:sz="0" w:space="0" w:color="auto"/>
        <w:right w:val="none" w:sz="0" w:space="0" w:color="auto"/>
      </w:divBdr>
    </w:div>
    <w:div w:id="1355618440">
      <w:bodyDiv w:val="1"/>
      <w:marLeft w:val="0"/>
      <w:marRight w:val="0"/>
      <w:marTop w:val="0"/>
      <w:marBottom w:val="0"/>
      <w:divBdr>
        <w:top w:val="none" w:sz="0" w:space="0" w:color="auto"/>
        <w:left w:val="none" w:sz="0" w:space="0" w:color="auto"/>
        <w:bottom w:val="none" w:sz="0" w:space="0" w:color="auto"/>
        <w:right w:val="none" w:sz="0" w:space="0" w:color="auto"/>
      </w:divBdr>
    </w:div>
    <w:div w:id="1512337617">
      <w:bodyDiv w:val="1"/>
      <w:marLeft w:val="0"/>
      <w:marRight w:val="0"/>
      <w:marTop w:val="0"/>
      <w:marBottom w:val="0"/>
      <w:divBdr>
        <w:top w:val="none" w:sz="0" w:space="0" w:color="auto"/>
        <w:left w:val="none" w:sz="0" w:space="0" w:color="auto"/>
        <w:bottom w:val="none" w:sz="0" w:space="0" w:color="auto"/>
        <w:right w:val="none" w:sz="0" w:space="0" w:color="auto"/>
      </w:divBdr>
    </w:div>
    <w:div w:id="1529104540">
      <w:bodyDiv w:val="1"/>
      <w:marLeft w:val="0"/>
      <w:marRight w:val="0"/>
      <w:marTop w:val="0"/>
      <w:marBottom w:val="0"/>
      <w:divBdr>
        <w:top w:val="none" w:sz="0" w:space="0" w:color="auto"/>
        <w:left w:val="none" w:sz="0" w:space="0" w:color="auto"/>
        <w:bottom w:val="none" w:sz="0" w:space="0" w:color="auto"/>
        <w:right w:val="none" w:sz="0" w:space="0" w:color="auto"/>
      </w:divBdr>
    </w:div>
    <w:div w:id="1633091709">
      <w:bodyDiv w:val="1"/>
      <w:marLeft w:val="0"/>
      <w:marRight w:val="0"/>
      <w:marTop w:val="0"/>
      <w:marBottom w:val="0"/>
      <w:divBdr>
        <w:top w:val="none" w:sz="0" w:space="0" w:color="auto"/>
        <w:left w:val="none" w:sz="0" w:space="0" w:color="auto"/>
        <w:bottom w:val="none" w:sz="0" w:space="0" w:color="auto"/>
        <w:right w:val="none" w:sz="0" w:space="0" w:color="auto"/>
      </w:divBdr>
    </w:div>
    <w:div w:id="1720058209">
      <w:bodyDiv w:val="1"/>
      <w:marLeft w:val="0"/>
      <w:marRight w:val="0"/>
      <w:marTop w:val="0"/>
      <w:marBottom w:val="0"/>
      <w:divBdr>
        <w:top w:val="none" w:sz="0" w:space="0" w:color="auto"/>
        <w:left w:val="none" w:sz="0" w:space="0" w:color="auto"/>
        <w:bottom w:val="none" w:sz="0" w:space="0" w:color="auto"/>
        <w:right w:val="none" w:sz="0" w:space="0" w:color="auto"/>
      </w:divBdr>
    </w:div>
    <w:div w:id="1900285690">
      <w:bodyDiv w:val="1"/>
      <w:marLeft w:val="0"/>
      <w:marRight w:val="0"/>
      <w:marTop w:val="0"/>
      <w:marBottom w:val="0"/>
      <w:divBdr>
        <w:top w:val="none" w:sz="0" w:space="0" w:color="auto"/>
        <w:left w:val="none" w:sz="0" w:space="0" w:color="auto"/>
        <w:bottom w:val="none" w:sz="0" w:space="0" w:color="auto"/>
        <w:right w:val="none" w:sz="0" w:space="0" w:color="auto"/>
      </w:divBdr>
    </w:div>
    <w:div w:id="1911843783">
      <w:bodyDiv w:val="1"/>
      <w:marLeft w:val="0"/>
      <w:marRight w:val="0"/>
      <w:marTop w:val="0"/>
      <w:marBottom w:val="0"/>
      <w:divBdr>
        <w:top w:val="none" w:sz="0" w:space="0" w:color="auto"/>
        <w:left w:val="none" w:sz="0" w:space="0" w:color="auto"/>
        <w:bottom w:val="none" w:sz="0" w:space="0" w:color="auto"/>
        <w:right w:val="none" w:sz="0" w:space="0" w:color="auto"/>
      </w:divBdr>
    </w:div>
    <w:div w:id="20047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www.stephanygj.net/papers/Compensatory_Financing_JAO_SGJ_2008.pdf"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thecommonwealth.org/files/229890/FileName/StrengtheningtheInternationalFinancialArchitectur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www.un.org/esa/policy/devplan/cdppublications/2006cdpreport.pdf" TargetMode="External"/><Relationship Id="rId10" Type="http://schemas.openxmlformats.org/officeDocument/2006/relationships/footer" Target="foot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http://www.imf.org/external/np/pp/eng/2011/103111a.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analysis%20mechanisms%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analysis%20mechanisms%20(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s1\ead\sheena\compensatory%20finance\analysis%20mechanism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s1\ead\sheena\compensatory%20finance\analysis%20mechanism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1\ead\sheena\compensatory%20finance\analysis%20mechanism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Owner\AppData\Local\Temp\analysis%20mechanisms-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IBRD</a:t>
            </a:r>
            <a:r>
              <a:rPr lang="en-GB" baseline="0"/>
              <a:t> </a:t>
            </a:r>
            <a:r>
              <a:rPr lang="en-GB"/>
              <a:t>Lending 2006-2011</a:t>
            </a:r>
          </a:p>
        </c:rich>
      </c:tx>
      <c:layout>
        <c:manualLayout>
          <c:xMode val="edge"/>
          <c:yMode val="edge"/>
          <c:x val="0.49794269423969634"/>
          <c:y val="0.90016920473773265"/>
        </c:manualLayout>
      </c:layout>
      <c:overlay val="0"/>
    </c:title>
    <c:autoTitleDeleted val="0"/>
    <c:plotArea>
      <c:layout/>
      <c:lineChart>
        <c:grouping val="standard"/>
        <c:varyColors val="0"/>
        <c:ser>
          <c:idx val="0"/>
          <c:order val="0"/>
          <c:tx>
            <c:strRef>
              <c:f>'Disbursements IMF WB'!$A$25</c:f>
              <c:strCache>
                <c:ptCount val="1"/>
                <c:pt idx="0">
                  <c:v>Commitments</c:v>
                </c:pt>
              </c:strCache>
            </c:strRef>
          </c:tx>
          <c:cat>
            <c:numRef>
              <c:f>'Disbursements IMF WB'!$B$19:$G$19</c:f>
              <c:numCache>
                <c:formatCode>General</c:formatCode>
                <c:ptCount val="6"/>
                <c:pt idx="0">
                  <c:v>2006</c:v>
                </c:pt>
                <c:pt idx="1">
                  <c:v>2007</c:v>
                </c:pt>
                <c:pt idx="2">
                  <c:v>2008</c:v>
                </c:pt>
                <c:pt idx="3">
                  <c:v>2009</c:v>
                </c:pt>
                <c:pt idx="4">
                  <c:v>2010</c:v>
                </c:pt>
                <c:pt idx="5">
                  <c:v>2011</c:v>
                </c:pt>
              </c:numCache>
            </c:numRef>
          </c:cat>
          <c:val>
            <c:numRef>
              <c:f>'Disbursements IMF WB'!$B$25:$G$25</c:f>
              <c:numCache>
                <c:formatCode>#,##0</c:formatCode>
                <c:ptCount val="6"/>
                <c:pt idx="0">
                  <c:v>14135</c:v>
                </c:pt>
                <c:pt idx="1">
                  <c:v>12829</c:v>
                </c:pt>
                <c:pt idx="2">
                  <c:v>13468</c:v>
                </c:pt>
                <c:pt idx="3">
                  <c:v>32911</c:v>
                </c:pt>
                <c:pt idx="4">
                  <c:v>44197</c:v>
                </c:pt>
                <c:pt idx="5">
                  <c:v>26737</c:v>
                </c:pt>
              </c:numCache>
            </c:numRef>
          </c:val>
          <c:smooth val="0"/>
        </c:ser>
        <c:ser>
          <c:idx val="1"/>
          <c:order val="1"/>
          <c:tx>
            <c:strRef>
              <c:f>'Disbursements IMF WB'!$A$26</c:f>
              <c:strCache>
                <c:ptCount val="1"/>
                <c:pt idx="0">
                  <c:v>Disbursements</c:v>
                </c:pt>
              </c:strCache>
            </c:strRef>
          </c:tx>
          <c:cat>
            <c:numRef>
              <c:f>'Disbursements IMF WB'!$B$19:$G$19</c:f>
              <c:numCache>
                <c:formatCode>General</c:formatCode>
                <c:ptCount val="6"/>
                <c:pt idx="0">
                  <c:v>2006</c:v>
                </c:pt>
                <c:pt idx="1">
                  <c:v>2007</c:v>
                </c:pt>
                <c:pt idx="2">
                  <c:v>2008</c:v>
                </c:pt>
                <c:pt idx="3">
                  <c:v>2009</c:v>
                </c:pt>
                <c:pt idx="4">
                  <c:v>2010</c:v>
                </c:pt>
                <c:pt idx="5">
                  <c:v>2011</c:v>
                </c:pt>
              </c:numCache>
            </c:numRef>
          </c:cat>
          <c:val>
            <c:numRef>
              <c:f>'Disbursements IMF WB'!$B$26:$G$26</c:f>
              <c:numCache>
                <c:formatCode>#,##0</c:formatCode>
                <c:ptCount val="6"/>
                <c:pt idx="0">
                  <c:v>11833</c:v>
                </c:pt>
                <c:pt idx="1">
                  <c:v>11055</c:v>
                </c:pt>
                <c:pt idx="2">
                  <c:v>10490</c:v>
                </c:pt>
                <c:pt idx="3">
                  <c:v>18565</c:v>
                </c:pt>
                <c:pt idx="4">
                  <c:v>28855</c:v>
                </c:pt>
                <c:pt idx="5">
                  <c:v>21879</c:v>
                </c:pt>
              </c:numCache>
            </c:numRef>
          </c:val>
          <c:smooth val="0"/>
        </c:ser>
        <c:dLbls>
          <c:showLegendKey val="0"/>
          <c:showVal val="0"/>
          <c:showCatName val="0"/>
          <c:showSerName val="0"/>
          <c:showPercent val="0"/>
          <c:showBubbleSize val="0"/>
        </c:dLbls>
        <c:marker val="1"/>
        <c:smooth val="0"/>
        <c:axId val="71016448"/>
        <c:axId val="70373888"/>
      </c:lineChart>
      <c:catAx>
        <c:axId val="71016448"/>
        <c:scaling>
          <c:orientation val="minMax"/>
        </c:scaling>
        <c:delete val="0"/>
        <c:axPos val="b"/>
        <c:numFmt formatCode="General" sourceLinked="1"/>
        <c:majorTickMark val="none"/>
        <c:minorTickMark val="none"/>
        <c:tickLblPos val="nextTo"/>
        <c:crossAx val="70373888"/>
        <c:crosses val="autoZero"/>
        <c:auto val="1"/>
        <c:lblAlgn val="ctr"/>
        <c:lblOffset val="100"/>
        <c:noMultiLvlLbl val="0"/>
      </c:catAx>
      <c:valAx>
        <c:axId val="70373888"/>
        <c:scaling>
          <c:orientation val="minMax"/>
        </c:scaling>
        <c:delete val="0"/>
        <c:axPos val="l"/>
        <c:majorGridlines/>
        <c:title>
          <c:tx>
            <c:rich>
              <a:bodyPr/>
              <a:lstStyle/>
              <a:p>
                <a:pPr>
                  <a:defRPr/>
                </a:pPr>
                <a:r>
                  <a:rPr lang="en-GB"/>
                  <a:t> $ millions</a:t>
                </a:r>
              </a:p>
            </c:rich>
          </c:tx>
          <c:layout/>
          <c:overlay val="0"/>
        </c:title>
        <c:numFmt formatCode="#,##0" sourceLinked="1"/>
        <c:majorTickMark val="none"/>
        <c:minorTickMark val="none"/>
        <c:tickLblPos val="nextTo"/>
        <c:crossAx val="71016448"/>
        <c:crosses val="autoZero"/>
        <c:crossBetween val="between"/>
      </c:valAx>
    </c:plotArea>
    <c:legend>
      <c:legendPos val="r"/>
      <c:layout>
        <c:manualLayout>
          <c:xMode val="edge"/>
          <c:yMode val="edge"/>
          <c:x val="0.65484348719170027"/>
          <c:y val="0.38952527199660208"/>
          <c:w val="0.34515651280829973"/>
          <c:h val="0.35041003691965888"/>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IDA Lending 2006-2011</a:t>
            </a:r>
          </a:p>
        </c:rich>
      </c:tx>
      <c:layout/>
      <c:overlay val="0"/>
    </c:title>
    <c:autoTitleDeleted val="0"/>
    <c:plotArea>
      <c:layout/>
      <c:lineChart>
        <c:grouping val="standard"/>
        <c:varyColors val="0"/>
        <c:ser>
          <c:idx val="0"/>
          <c:order val="0"/>
          <c:tx>
            <c:strRef>
              <c:f>'Disbursements IMF WB'!$A$20</c:f>
              <c:strCache>
                <c:ptCount val="1"/>
                <c:pt idx="0">
                  <c:v>Commitments</c:v>
                </c:pt>
              </c:strCache>
            </c:strRef>
          </c:tx>
          <c:cat>
            <c:numRef>
              <c:f>'Disbursements IMF WB'!$B$19:$G$19</c:f>
              <c:numCache>
                <c:formatCode>General</c:formatCode>
                <c:ptCount val="6"/>
                <c:pt idx="0">
                  <c:v>2006</c:v>
                </c:pt>
                <c:pt idx="1">
                  <c:v>2007</c:v>
                </c:pt>
                <c:pt idx="2">
                  <c:v>2008</c:v>
                </c:pt>
                <c:pt idx="3">
                  <c:v>2009</c:v>
                </c:pt>
                <c:pt idx="4">
                  <c:v>2010</c:v>
                </c:pt>
                <c:pt idx="5">
                  <c:v>2011</c:v>
                </c:pt>
              </c:numCache>
            </c:numRef>
          </c:cat>
          <c:val>
            <c:numRef>
              <c:f>'Disbursements IMF WB'!$B$20:$G$20</c:f>
              <c:numCache>
                <c:formatCode>#,##0</c:formatCode>
                <c:ptCount val="6"/>
                <c:pt idx="0">
                  <c:v>9506</c:v>
                </c:pt>
                <c:pt idx="1">
                  <c:v>11867</c:v>
                </c:pt>
                <c:pt idx="2">
                  <c:v>11235</c:v>
                </c:pt>
                <c:pt idx="3">
                  <c:v>14041</c:v>
                </c:pt>
                <c:pt idx="4">
                  <c:v>14550</c:v>
                </c:pt>
                <c:pt idx="5">
                  <c:v>16269</c:v>
                </c:pt>
              </c:numCache>
            </c:numRef>
          </c:val>
          <c:smooth val="0"/>
        </c:ser>
        <c:ser>
          <c:idx val="1"/>
          <c:order val="1"/>
          <c:tx>
            <c:strRef>
              <c:f>'Disbursements IMF WB'!$A$21</c:f>
              <c:strCache>
                <c:ptCount val="1"/>
                <c:pt idx="0">
                  <c:v>Disbursements</c:v>
                </c:pt>
              </c:strCache>
            </c:strRef>
          </c:tx>
          <c:cat>
            <c:numRef>
              <c:f>'Disbursements IMF WB'!$B$19:$G$19</c:f>
              <c:numCache>
                <c:formatCode>General</c:formatCode>
                <c:ptCount val="6"/>
                <c:pt idx="0">
                  <c:v>2006</c:v>
                </c:pt>
                <c:pt idx="1">
                  <c:v>2007</c:v>
                </c:pt>
                <c:pt idx="2">
                  <c:v>2008</c:v>
                </c:pt>
                <c:pt idx="3">
                  <c:v>2009</c:v>
                </c:pt>
                <c:pt idx="4">
                  <c:v>2010</c:v>
                </c:pt>
                <c:pt idx="5">
                  <c:v>2011</c:v>
                </c:pt>
              </c:numCache>
            </c:numRef>
          </c:cat>
          <c:val>
            <c:numRef>
              <c:f>'Disbursements IMF WB'!$B$21:$G$21</c:f>
              <c:numCache>
                <c:formatCode>#,##0</c:formatCode>
                <c:ptCount val="6"/>
                <c:pt idx="0">
                  <c:v>8910</c:v>
                </c:pt>
                <c:pt idx="1">
                  <c:v>8579</c:v>
                </c:pt>
                <c:pt idx="2">
                  <c:v>9160</c:v>
                </c:pt>
                <c:pt idx="3">
                  <c:v>9219</c:v>
                </c:pt>
                <c:pt idx="4">
                  <c:v>11460</c:v>
                </c:pt>
                <c:pt idx="5">
                  <c:v>10282</c:v>
                </c:pt>
              </c:numCache>
            </c:numRef>
          </c:val>
          <c:smooth val="0"/>
        </c:ser>
        <c:dLbls>
          <c:showLegendKey val="0"/>
          <c:showVal val="0"/>
          <c:showCatName val="0"/>
          <c:showSerName val="0"/>
          <c:showPercent val="0"/>
          <c:showBubbleSize val="0"/>
        </c:dLbls>
        <c:marker val="1"/>
        <c:smooth val="0"/>
        <c:axId val="70981632"/>
        <c:axId val="70369856"/>
      </c:lineChart>
      <c:catAx>
        <c:axId val="70981632"/>
        <c:scaling>
          <c:orientation val="minMax"/>
        </c:scaling>
        <c:delete val="0"/>
        <c:axPos val="b"/>
        <c:numFmt formatCode="General" sourceLinked="1"/>
        <c:majorTickMark val="none"/>
        <c:minorTickMark val="none"/>
        <c:tickLblPos val="nextTo"/>
        <c:crossAx val="70369856"/>
        <c:crosses val="autoZero"/>
        <c:auto val="1"/>
        <c:lblAlgn val="ctr"/>
        <c:lblOffset val="100"/>
        <c:noMultiLvlLbl val="0"/>
      </c:catAx>
      <c:valAx>
        <c:axId val="70369856"/>
        <c:scaling>
          <c:orientation val="minMax"/>
        </c:scaling>
        <c:delete val="0"/>
        <c:axPos val="l"/>
        <c:majorGridlines/>
        <c:title>
          <c:tx>
            <c:rich>
              <a:bodyPr/>
              <a:lstStyle/>
              <a:p>
                <a:pPr>
                  <a:defRPr/>
                </a:pPr>
                <a:r>
                  <a:rPr lang="en-GB"/>
                  <a:t> $ millions</a:t>
                </a:r>
              </a:p>
            </c:rich>
          </c:tx>
          <c:layout/>
          <c:overlay val="0"/>
        </c:title>
        <c:numFmt formatCode="#,##0" sourceLinked="1"/>
        <c:majorTickMark val="none"/>
        <c:minorTickMark val="none"/>
        <c:tickLblPos val="nextTo"/>
        <c:crossAx val="70981632"/>
        <c:crosses val="autoZero"/>
        <c:crossBetween val="between"/>
      </c:valAx>
    </c:plotArea>
    <c:legend>
      <c:legendPos val="r"/>
      <c:layout>
        <c:manualLayout>
          <c:xMode val="edge"/>
          <c:yMode val="edge"/>
          <c:x val="0.62754421248710546"/>
          <c:y val="0.39644090131887039"/>
          <c:w val="0.3724557875128946"/>
          <c:h val="0.35041003691965888"/>
        </c:manualLayout>
      </c:layout>
      <c:overlay val="0"/>
    </c:legend>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Total IFI lending to developing countries 2006 - 2011*</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'MDB RDB Lending'!$A$43</c:f>
              <c:strCache>
                <c:ptCount val="1"/>
                <c:pt idx="0">
                  <c:v>WB</c:v>
                </c:pt>
              </c:strCache>
            </c:strRef>
          </c:tx>
          <c:invertIfNegative val="0"/>
          <c:cat>
            <c:numRef>
              <c:f>'MDB RDB Lending'!$B$31:$G$31</c:f>
              <c:numCache>
                <c:formatCode>General</c:formatCode>
                <c:ptCount val="6"/>
                <c:pt idx="0">
                  <c:v>2006</c:v>
                </c:pt>
                <c:pt idx="1">
                  <c:v>2007</c:v>
                </c:pt>
                <c:pt idx="2">
                  <c:v>2008</c:v>
                </c:pt>
                <c:pt idx="3">
                  <c:v>2009</c:v>
                </c:pt>
                <c:pt idx="4">
                  <c:v>2010</c:v>
                </c:pt>
                <c:pt idx="5">
                  <c:v>2011</c:v>
                </c:pt>
              </c:numCache>
            </c:numRef>
          </c:cat>
          <c:val>
            <c:numRef>
              <c:f>'MDB RDB Lending'!$B$43:$G$43</c:f>
              <c:numCache>
                <c:formatCode>#,##0</c:formatCode>
                <c:ptCount val="6"/>
                <c:pt idx="0">
                  <c:v>23641</c:v>
                </c:pt>
                <c:pt idx="1">
                  <c:v>24696</c:v>
                </c:pt>
                <c:pt idx="2">
                  <c:v>24703</c:v>
                </c:pt>
                <c:pt idx="3">
                  <c:v>46952</c:v>
                </c:pt>
                <c:pt idx="4">
                  <c:v>58747</c:v>
                </c:pt>
                <c:pt idx="5">
                  <c:v>43006</c:v>
                </c:pt>
              </c:numCache>
            </c:numRef>
          </c:val>
        </c:ser>
        <c:ser>
          <c:idx val="1"/>
          <c:order val="1"/>
          <c:tx>
            <c:strRef>
              <c:f>'MDB RDB Lending'!$A$44</c:f>
              <c:strCache>
                <c:ptCount val="1"/>
                <c:pt idx="0">
                  <c:v>IMF</c:v>
                </c:pt>
              </c:strCache>
            </c:strRef>
          </c:tx>
          <c:invertIfNegative val="0"/>
          <c:cat>
            <c:numRef>
              <c:f>'MDB RDB Lending'!$B$31:$G$31</c:f>
              <c:numCache>
                <c:formatCode>General</c:formatCode>
                <c:ptCount val="6"/>
                <c:pt idx="0">
                  <c:v>2006</c:v>
                </c:pt>
                <c:pt idx="1">
                  <c:v>2007</c:v>
                </c:pt>
                <c:pt idx="2">
                  <c:v>2008</c:v>
                </c:pt>
                <c:pt idx="3">
                  <c:v>2009</c:v>
                </c:pt>
                <c:pt idx="4">
                  <c:v>2010</c:v>
                </c:pt>
                <c:pt idx="5">
                  <c:v>2011</c:v>
                </c:pt>
              </c:numCache>
            </c:numRef>
          </c:cat>
          <c:val>
            <c:numRef>
              <c:f>'MDB RDB Lending'!$B$44:$G$44</c:f>
              <c:numCache>
                <c:formatCode>#,##0</c:formatCode>
                <c:ptCount val="6"/>
                <c:pt idx="0">
                  <c:v>12828.450882050613</c:v>
                </c:pt>
                <c:pt idx="1">
                  <c:v>908.31608794316367</c:v>
                </c:pt>
                <c:pt idx="2">
                  <c:v>2017.9755753803997</c:v>
                </c:pt>
                <c:pt idx="3">
                  <c:v>82956.508311849131</c:v>
                </c:pt>
                <c:pt idx="4">
                  <c:v>112290.57637197337</c:v>
                </c:pt>
                <c:pt idx="5">
                  <c:v>126631.37354044957</c:v>
                </c:pt>
              </c:numCache>
            </c:numRef>
          </c:val>
        </c:ser>
        <c:ser>
          <c:idx val="2"/>
          <c:order val="2"/>
          <c:tx>
            <c:strRef>
              <c:f>'MDB RDB Lending'!$A$45</c:f>
              <c:strCache>
                <c:ptCount val="1"/>
                <c:pt idx="0">
                  <c:v>IADB</c:v>
                </c:pt>
              </c:strCache>
            </c:strRef>
          </c:tx>
          <c:invertIfNegative val="0"/>
          <c:cat>
            <c:numRef>
              <c:f>'MDB RDB Lending'!$B$31:$G$31</c:f>
              <c:numCache>
                <c:formatCode>General</c:formatCode>
                <c:ptCount val="6"/>
                <c:pt idx="0">
                  <c:v>2006</c:v>
                </c:pt>
                <c:pt idx="1">
                  <c:v>2007</c:v>
                </c:pt>
                <c:pt idx="2">
                  <c:v>2008</c:v>
                </c:pt>
                <c:pt idx="3">
                  <c:v>2009</c:v>
                </c:pt>
                <c:pt idx="4">
                  <c:v>2010</c:v>
                </c:pt>
                <c:pt idx="5">
                  <c:v>2011</c:v>
                </c:pt>
              </c:numCache>
            </c:numRef>
          </c:cat>
          <c:val>
            <c:numRef>
              <c:f>'MDB RDB Lending'!$B$45:$G$45</c:f>
              <c:numCache>
                <c:formatCode>#,##0</c:formatCode>
                <c:ptCount val="6"/>
                <c:pt idx="0">
                  <c:v>6237</c:v>
                </c:pt>
                <c:pt idx="1">
                  <c:v>8729</c:v>
                </c:pt>
                <c:pt idx="2">
                  <c:v>11223</c:v>
                </c:pt>
                <c:pt idx="3">
                  <c:v>15506</c:v>
                </c:pt>
                <c:pt idx="4">
                  <c:v>12433</c:v>
                </c:pt>
                <c:pt idx="5">
                  <c:v>10581</c:v>
                </c:pt>
              </c:numCache>
            </c:numRef>
          </c:val>
        </c:ser>
        <c:ser>
          <c:idx val="3"/>
          <c:order val="3"/>
          <c:tx>
            <c:strRef>
              <c:f>'MDB RDB Lending'!$A$46</c:f>
              <c:strCache>
                <c:ptCount val="1"/>
                <c:pt idx="0">
                  <c:v>AsDB</c:v>
                </c:pt>
              </c:strCache>
            </c:strRef>
          </c:tx>
          <c:invertIfNegative val="0"/>
          <c:cat>
            <c:numRef>
              <c:f>'MDB RDB Lending'!$B$31:$G$31</c:f>
              <c:numCache>
                <c:formatCode>General</c:formatCode>
                <c:ptCount val="6"/>
                <c:pt idx="0">
                  <c:v>2006</c:v>
                </c:pt>
                <c:pt idx="1">
                  <c:v>2007</c:v>
                </c:pt>
                <c:pt idx="2">
                  <c:v>2008</c:v>
                </c:pt>
                <c:pt idx="3">
                  <c:v>2009</c:v>
                </c:pt>
                <c:pt idx="4">
                  <c:v>2010</c:v>
                </c:pt>
                <c:pt idx="5">
                  <c:v>2011</c:v>
                </c:pt>
              </c:numCache>
            </c:numRef>
          </c:cat>
          <c:val>
            <c:numRef>
              <c:f>'MDB RDB Lending'!$B$46:$G$46</c:f>
              <c:numCache>
                <c:formatCode>#,##0</c:formatCode>
                <c:ptCount val="6"/>
                <c:pt idx="0">
                  <c:v>8150</c:v>
                </c:pt>
                <c:pt idx="1">
                  <c:v>10520</c:v>
                </c:pt>
                <c:pt idx="2">
                  <c:v>10709</c:v>
                </c:pt>
                <c:pt idx="3">
                  <c:v>14360</c:v>
                </c:pt>
                <c:pt idx="4">
                  <c:v>13362</c:v>
                </c:pt>
                <c:pt idx="5">
                  <c:v>13876</c:v>
                </c:pt>
              </c:numCache>
            </c:numRef>
          </c:val>
        </c:ser>
        <c:ser>
          <c:idx val="4"/>
          <c:order val="4"/>
          <c:tx>
            <c:strRef>
              <c:f>'MDB RDB Lending'!$A$47</c:f>
              <c:strCache>
                <c:ptCount val="1"/>
                <c:pt idx="0">
                  <c:v>AfDB</c:v>
                </c:pt>
              </c:strCache>
            </c:strRef>
          </c:tx>
          <c:invertIfNegative val="0"/>
          <c:cat>
            <c:numRef>
              <c:f>'MDB RDB Lending'!$B$31:$G$31</c:f>
              <c:numCache>
                <c:formatCode>General</c:formatCode>
                <c:ptCount val="6"/>
                <c:pt idx="0">
                  <c:v>2006</c:v>
                </c:pt>
                <c:pt idx="1">
                  <c:v>2007</c:v>
                </c:pt>
                <c:pt idx="2">
                  <c:v>2008</c:v>
                </c:pt>
                <c:pt idx="3">
                  <c:v>2009</c:v>
                </c:pt>
                <c:pt idx="4">
                  <c:v>2010</c:v>
                </c:pt>
                <c:pt idx="5">
                  <c:v>2011</c:v>
                </c:pt>
              </c:numCache>
            </c:numRef>
          </c:cat>
          <c:val>
            <c:numRef>
              <c:f>'MDB RDB Lending'!$B$47:$G$47</c:f>
              <c:numCache>
                <c:formatCode>#,##0</c:formatCode>
                <c:ptCount val="6"/>
                <c:pt idx="0">
                  <c:v>3893.8560000000002</c:v>
                </c:pt>
                <c:pt idx="1">
                  <c:v>4820.58</c:v>
                </c:pt>
                <c:pt idx="2">
                  <c:v>5346.88</c:v>
                </c:pt>
                <c:pt idx="3">
                  <c:v>12583.009999999973</c:v>
                </c:pt>
                <c:pt idx="4">
                  <c:v>6216.9800000000005</c:v>
                </c:pt>
                <c:pt idx="5">
                  <c:v>8473.2000000000007</c:v>
                </c:pt>
              </c:numCache>
            </c:numRef>
          </c:val>
        </c:ser>
        <c:dLbls>
          <c:showLegendKey val="0"/>
          <c:showVal val="0"/>
          <c:showCatName val="0"/>
          <c:showSerName val="0"/>
          <c:showPercent val="0"/>
          <c:showBubbleSize val="0"/>
        </c:dLbls>
        <c:gapWidth val="55"/>
        <c:gapDepth val="55"/>
        <c:shape val="box"/>
        <c:axId val="71017984"/>
        <c:axId val="70374464"/>
        <c:axId val="0"/>
      </c:bar3DChart>
      <c:catAx>
        <c:axId val="71017984"/>
        <c:scaling>
          <c:orientation val="minMax"/>
        </c:scaling>
        <c:delete val="0"/>
        <c:axPos val="b"/>
        <c:numFmt formatCode="General" sourceLinked="1"/>
        <c:majorTickMark val="none"/>
        <c:minorTickMark val="none"/>
        <c:tickLblPos val="nextTo"/>
        <c:crossAx val="70374464"/>
        <c:crosses val="autoZero"/>
        <c:auto val="1"/>
        <c:lblAlgn val="ctr"/>
        <c:lblOffset val="100"/>
        <c:noMultiLvlLbl val="0"/>
      </c:catAx>
      <c:valAx>
        <c:axId val="70374464"/>
        <c:scaling>
          <c:orientation val="minMax"/>
        </c:scaling>
        <c:delete val="0"/>
        <c:axPos val="l"/>
        <c:majorGridlines/>
        <c:numFmt formatCode="#,##0" sourceLinked="1"/>
        <c:majorTickMark val="none"/>
        <c:minorTickMark val="none"/>
        <c:tickLblPos val="nextTo"/>
        <c:crossAx val="71017984"/>
        <c:crosses val="autoZero"/>
        <c:crossBetween val="between"/>
      </c:valAx>
    </c:plotArea>
    <c:legend>
      <c:legendPos val="r"/>
      <c:layout>
        <c:manualLayout>
          <c:xMode val="edge"/>
          <c:yMode val="edge"/>
          <c:x val="0.84217011936008002"/>
          <c:y val="2.6125820453721175E-3"/>
          <c:w val="0.15782988063992001"/>
          <c:h val="0.58199564764657019"/>
        </c:manualLayout>
      </c:layout>
      <c:overlay val="0"/>
    </c:legend>
    <c:plotVisOnly val="1"/>
    <c:dispBlanksAs val="gap"/>
    <c:showDLblsOverMax val="0"/>
  </c:chart>
  <c:txPr>
    <a:bodyPr/>
    <a:lstStyle/>
    <a:p>
      <a:pPr>
        <a:defRPr sz="800"/>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Total IFI lending to MICs and LICs, 2006 -2011</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'MDB RDB Lending'!$A$55</c:f>
              <c:strCache>
                <c:ptCount val="1"/>
                <c:pt idx="0">
                  <c:v>LIC</c:v>
                </c:pt>
              </c:strCache>
            </c:strRef>
          </c:tx>
          <c:invertIfNegative val="0"/>
          <c:cat>
            <c:numRef>
              <c:f>'MDB RDB Lending'!$B$54:$G$54</c:f>
              <c:numCache>
                <c:formatCode>General</c:formatCode>
                <c:ptCount val="6"/>
                <c:pt idx="0">
                  <c:v>2006</c:v>
                </c:pt>
                <c:pt idx="1">
                  <c:v>2007</c:v>
                </c:pt>
                <c:pt idx="2">
                  <c:v>2008</c:v>
                </c:pt>
                <c:pt idx="3">
                  <c:v>2009</c:v>
                </c:pt>
                <c:pt idx="4">
                  <c:v>2010</c:v>
                </c:pt>
                <c:pt idx="5">
                  <c:v>2011</c:v>
                </c:pt>
              </c:numCache>
            </c:numRef>
          </c:cat>
          <c:val>
            <c:numRef>
              <c:f>'MDB RDB Lending'!$B$55:$G$55</c:f>
              <c:numCache>
                <c:formatCode>#,##0</c:formatCode>
                <c:ptCount val="6"/>
                <c:pt idx="0">
                  <c:v>14516.191958907782</c:v>
                </c:pt>
                <c:pt idx="1">
                  <c:v>17581.951233205615</c:v>
                </c:pt>
                <c:pt idx="2">
                  <c:v>17416.235303612229</c:v>
                </c:pt>
                <c:pt idx="3">
                  <c:v>23091.646480562529</c:v>
                </c:pt>
                <c:pt idx="4">
                  <c:v>23455.737747427556</c:v>
                </c:pt>
                <c:pt idx="5">
                  <c:v>23630.460797418265</c:v>
                </c:pt>
              </c:numCache>
            </c:numRef>
          </c:val>
        </c:ser>
        <c:ser>
          <c:idx val="1"/>
          <c:order val="1"/>
          <c:tx>
            <c:strRef>
              <c:f>'MDB RDB Lending'!$A$56</c:f>
              <c:strCache>
                <c:ptCount val="1"/>
                <c:pt idx="0">
                  <c:v>MIC</c:v>
                </c:pt>
              </c:strCache>
            </c:strRef>
          </c:tx>
          <c:invertIfNegative val="0"/>
          <c:cat>
            <c:numRef>
              <c:f>'MDB RDB Lending'!$B$54:$G$54</c:f>
              <c:numCache>
                <c:formatCode>General</c:formatCode>
                <c:ptCount val="6"/>
                <c:pt idx="0">
                  <c:v>2006</c:v>
                </c:pt>
                <c:pt idx="1">
                  <c:v>2007</c:v>
                </c:pt>
                <c:pt idx="2">
                  <c:v>2008</c:v>
                </c:pt>
                <c:pt idx="3">
                  <c:v>2009</c:v>
                </c:pt>
                <c:pt idx="4">
                  <c:v>2010</c:v>
                </c:pt>
                <c:pt idx="5">
                  <c:v>2011</c:v>
                </c:pt>
              </c:numCache>
            </c:numRef>
          </c:cat>
          <c:val>
            <c:numRef>
              <c:f>'MDB RDB Lending'!$B$56:$G$56</c:f>
              <c:numCache>
                <c:formatCode>#,##0</c:formatCode>
                <c:ptCount val="6"/>
                <c:pt idx="0">
                  <c:v>40234.114923142843</c:v>
                </c:pt>
                <c:pt idx="1">
                  <c:v>32091.944854737561</c:v>
                </c:pt>
                <c:pt idx="2">
                  <c:v>36583.620271768181</c:v>
                </c:pt>
                <c:pt idx="3">
                  <c:v>149265.87183128664</c:v>
                </c:pt>
                <c:pt idx="4">
                  <c:v>179593.81862454602</c:v>
                </c:pt>
                <c:pt idx="5">
                  <c:v>178937.11274303167</c:v>
                </c:pt>
              </c:numCache>
            </c:numRef>
          </c:val>
        </c:ser>
        <c:dLbls>
          <c:showLegendKey val="0"/>
          <c:showVal val="0"/>
          <c:showCatName val="0"/>
          <c:showSerName val="0"/>
          <c:showPercent val="0"/>
          <c:showBubbleSize val="0"/>
        </c:dLbls>
        <c:gapWidth val="55"/>
        <c:gapDepth val="55"/>
        <c:shape val="box"/>
        <c:axId val="71018496"/>
        <c:axId val="70376192"/>
        <c:axId val="0"/>
      </c:bar3DChart>
      <c:catAx>
        <c:axId val="71018496"/>
        <c:scaling>
          <c:orientation val="minMax"/>
        </c:scaling>
        <c:delete val="0"/>
        <c:axPos val="b"/>
        <c:numFmt formatCode="General" sourceLinked="1"/>
        <c:majorTickMark val="none"/>
        <c:minorTickMark val="none"/>
        <c:tickLblPos val="nextTo"/>
        <c:crossAx val="70376192"/>
        <c:crosses val="autoZero"/>
        <c:auto val="1"/>
        <c:lblAlgn val="ctr"/>
        <c:lblOffset val="100"/>
        <c:noMultiLvlLbl val="0"/>
      </c:catAx>
      <c:valAx>
        <c:axId val="70376192"/>
        <c:scaling>
          <c:orientation val="minMax"/>
        </c:scaling>
        <c:delete val="0"/>
        <c:axPos val="l"/>
        <c:majorGridlines/>
        <c:numFmt formatCode="#,##0" sourceLinked="1"/>
        <c:majorTickMark val="none"/>
        <c:minorTickMark val="none"/>
        <c:tickLblPos val="nextTo"/>
        <c:crossAx val="71018496"/>
        <c:crosses val="autoZero"/>
        <c:crossBetween val="between"/>
      </c:valAx>
    </c:plotArea>
    <c:legend>
      <c:legendPos val="r"/>
      <c:layout/>
      <c:overlay val="0"/>
    </c:legend>
    <c:plotVisOnly val="1"/>
    <c:dispBlanksAs val="gap"/>
    <c:showDLblsOverMax val="0"/>
  </c:chart>
  <c:txPr>
    <a:bodyPr/>
    <a:lstStyle/>
    <a:p>
      <a:pPr>
        <a:defRPr sz="800"/>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Total IFI lending to low-income countries 2006 - 2011*</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'MDB RDB Lending'!$A$20</c:f>
              <c:strCache>
                <c:ptCount val="1"/>
                <c:pt idx="0">
                  <c:v>WB</c:v>
                </c:pt>
              </c:strCache>
            </c:strRef>
          </c:tx>
          <c:invertIfNegative val="0"/>
          <c:cat>
            <c:numRef>
              <c:f>'MDB RDB Lending'!$B$19:$G$19</c:f>
              <c:numCache>
                <c:formatCode>General</c:formatCode>
                <c:ptCount val="6"/>
                <c:pt idx="0">
                  <c:v>2006</c:v>
                </c:pt>
                <c:pt idx="1">
                  <c:v>2007</c:v>
                </c:pt>
                <c:pt idx="2">
                  <c:v>2008</c:v>
                </c:pt>
                <c:pt idx="3">
                  <c:v>2009</c:v>
                </c:pt>
                <c:pt idx="4">
                  <c:v>2010</c:v>
                </c:pt>
                <c:pt idx="5">
                  <c:v>2011</c:v>
                </c:pt>
              </c:numCache>
            </c:numRef>
          </c:cat>
          <c:val>
            <c:numRef>
              <c:f>'MDB RDB Lending'!$B$20:$G$20</c:f>
              <c:numCache>
                <c:formatCode>#,##0</c:formatCode>
                <c:ptCount val="6"/>
                <c:pt idx="0">
                  <c:v>9506</c:v>
                </c:pt>
                <c:pt idx="1">
                  <c:v>11867</c:v>
                </c:pt>
                <c:pt idx="2">
                  <c:v>11235</c:v>
                </c:pt>
                <c:pt idx="3">
                  <c:v>14041</c:v>
                </c:pt>
                <c:pt idx="4">
                  <c:v>14550</c:v>
                </c:pt>
                <c:pt idx="5">
                  <c:v>16269</c:v>
                </c:pt>
              </c:numCache>
            </c:numRef>
          </c:val>
        </c:ser>
        <c:ser>
          <c:idx val="1"/>
          <c:order val="1"/>
          <c:tx>
            <c:strRef>
              <c:f>'MDB RDB Lending'!$A$21</c:f>
              <c:strCache>
                <c:ptCount val="1"/>
                <c:pt idx="0">
                  <c:v>IMF</c:v>
                </c:pt>
              </c:strCache>
            </c:strRef>
          </c:tx>
          <c:invertIfNegative val="0"/>
          <c:cat>
            <c:numRef>
              <c:f>'MDB RDB Lending'!$B$19:$G$19</c:f>
              <c:numCache>
                <c:formatCode>General</c:formatCode>
                <c:ptCount val="6"/>
                <c:pt idx="0">
                  <c:v>2006</c:v>
                </c:pt>
                <c:pt idx="1">
                  <c:v>2007</c:v>
                </c:pt>
                <c:pt idx="2">
                  <c:v>2008</c:v>
                </c:pt>
                <c:pt idx="3">
                  <c:v>2009</c:v>
                </c:pt>
                <c:pt idx="4">
                  <c:v>2010</c:v>
                </c:pt>
                <c:pt idx="5">
                  <c:v>2011</c:v>
                </c:pt>
              </c:numCache>
            </c:numRef>
          </c:cat>
          <c:val>
            <c:numRef>
              <c:f>'MDB RDB Lending'!$B$21:$G$21</c:f>
              <c:numCache>
                <c:formatCode>#,##0</c:formatCode>
                <c:ptCount val="6"/>
                <c:pt idx="0">
                  <c:v>195.28795890778051</c:v>
                </c:pt>
                <c:pt idx="1">
                  <c:v>549.53123320561349</c:v>
                </c:pt>
                <c:pt idx="2">
                  <c:v>657.01530361222171</c:v>
                </c:pt>
                <c:pt idx="3">
                  <c:v>1451.79188056249</c:v>
                </c:pt>
                <c:pt idx="4">
                  <c:v>2968.6797474275731</c:v>
                </c:pt>
                <c:pt idx="5">
                  <c:v>1625.8857974182631</c:v>
                </c:pt>
              </c:numCache>
            </c:numRef>
          </c:val>
        </c:ser>
        <c:ser>
          <c:idx val="2"/>
          <c:order val="2"/>
          <c:tx>
            <c:strRef>
              <c:f>'MDB RDB Lending'!$A$22</c:f>
              <c:strCache>
                <c:ptCount val="1"/>
                <c:pt idx="0">
                  <c:v>IADB</c:v>
                </c:pt>
              </c:strCache>
            </c:strRef>
          </c:tx>
          <c:invertIfNegative val="0"/>
          <c:cat>
            <c:numRef>
              <c:f>'MDB RDB Lending'!$B$19:$G$19</c:f>
              <c:numCache>
                <c:formatCode>General</c:formatCode>
                <c:ptCount val="6"/>
                <c:pt idx="0">
                  <c:v>2006</c:v>
                </c:pt>
                <c:pt idx="1">
                  <c:v>2007</c:v>
                </c:pt>
                <c:pt idx="2">
                  <c:v>2008</c:v>
                </c:pt>
                <c:pt idx="3">
                  <c:v>2009</c:v>
                </c:pt>
                <c:pt idx="4">
                  <c:v>2010</c:v>
                </c:pt>
                <c:pt idx="5">
                  <c:v>2011</c:v>
                </c:pt>
              </c:numCache>
            </c:numRef>
          </c:cat>
          <c:val>
            <c:numRef>
              <c:f>'MDB RDB Lending'!$B$22:$G$22</c:f>
              <c:numCache>
                <c:formatCode>#,##0</c:formatCode>
                <c:ptCount val="6"/>
                <c:pt idx="0">
                  <c:v>605</c:v>
                </c:pt>
                <c:pt idx="1">
                  <c:v>152</c:v>
                </c:pt>
                <c:pt idx="2">
                  <c:v>138</c:v>
                </c:pt>
                <c:pt idx="3">
                  <c:v>228</c:v>
                </c:pt>
                <c:pt idx="4">
                  <c:v>297</c:v>
                </c:pt>
                <c:pt idx="5">
                  <c:v>181</c:v>
                </c:pt>
              </c:numCache>
            </c:numRef>
          </c:val>
        </c:ser>
        <c:ser>
          <c:idx val="3"/>
          <c:order val="3"/>
          <c:tx>
            <c:strRef>
              <c:f>'MDB RDB Lending'!$A$23</c:f>
              <c:strCache>
                <c:ptCount val="1"/>
                <c:pt idx="0">
                  <c:v>AsDB</c:v>
                </c:pt>
              </c:strCache>
            </c:strRef>
          </c:tx>
          <c:invertIfNegative val="0"/>
          <c:cat>
            <c:numRef>
              <c:f>'MDB RDB Lending'!$B$19:$G$19</c:f>
              <c:numCache>
                <c:formatCode>General</c:formatCode>
                <c:ptCount val="6"/>
                <c:pt idx="0">
                  <c:v>2006</c:v>
                </c:pt>
                <c:pt idx="1">
                  <c:v>2007</c:v>
                </c:pt>
                <c:pt idx="2">
                  <c:v>2008</c:v>
                </c:pt>
                <c:pt idx="3">
                  <c:v>2009</c:v>
                </c:pt>
                <c:pt idx="4">
                  <c:v>2010</c:v>
                </c:pt>
                <c:pt idx="5">
                  <c:v>2011</c:v>
                </c:pt>
              </c:numCache>
            </c:numRef>
          </c:cat>
          <c:val>
            <c:numRef>
              <c:f>'MDB RDB Lending'!$B$23:$G$23</c:f>
              <c:numCache>
                <c:formatCode>#,##0</c:formatCode>
                <c:ptCount val="6"/>
                <c:pt idx="0">
                  <c:v>1802</c:v>
                </c:pt>
                <c:pt idx="1">
                  <c:v>2566</c:v>
                </c:pt>
                <c:pt idx="2">
                  <c:v>2471</c:v>
                </c:pt>
                <c:pt idx="3">
                  <c:v>3134</c:v>
                </c:pt>
                <c:pt idx="4">
                  <c:v>3195</c:v>
                </c:pt>
                <c:pt idx="5">
                  <c:v>2569</c:v>
                </c:pt>
              </c:numCache>
            </c:numRef>
          </c:val>
        </c:ser>
        <c:ser>
          <c:idx val="4"/>
          <c:order val="4"/>
          <c:tx>
            <c:strRef>
              <c:f>'MDB RDB Lending'!$A$24</c:f>
              <c:strCache>
                <c:ptCount val="1"/>
                <c:pt idx="0">
                  <c:v>AfDB</c:v>
                </c:pt>
              </c:strCache>
            </c:strRef>
          </c:tx>
          <c:invertIfNegative val="0"/>
          <c:cat>
            <c:numRef>
              <c:f>'MDB RDB Lending'!$B$19:$G$19</c:f>
              <c:numCache>
                <c:formatCode>General</c:formatCode>
                <c:ptCount val="6"/>
                <c:pt idx="0">
                  <c:v>2006</c:v>
                </c:pt>
                <c:pt idx="1">
                  <c:v>2007</c:v>
                </c:pt>
                <c:pt idx="2">
                  <c:v>2008</c:v>
                </c:pt>
                <c:pt idx="3">
                  <c:v>2009</c:v>
                </c:pt>
                <c:pt idx="4">
                  <c:v>2010</c:v>
                </c:pt>
                <c:pt idx="5">
                  <c:v>2011</c:v>
                </c:pt>
              </c:numCache>
            </c:numRef>
          </c:cat>
          <c:val>
            <c:numRef>
              <c:f>'MDB RDB Lending'!$B$24:$G$24</c:f>
              <c:numCache>
                <c:formatCode>#,##0</c:formatCode>
                <c:ptCount val="6"/>
                <c:pt idx="0">
                  <c:v>2407.904</c:v>
                </c:pt>
                <c:pt idx="1">
                  <c:v>2447.42</c:v>
                </c:pt>
                <c:pt idx="2">
                  <c:v>2915.22</c:v>
                </c:pt>
                <c:pt idx="3">
                  <c:v>4236.8546000000024</c:v>
                </c:pt>
                <c:pt idx="4">
                  <c:v>2445.058</c:v>
                </c:pt>
                <c:pt idx="5">
                  <c:v>2985.5749999999998</c:v>
                </c:pt>
              </c:numCache>
            </c:numRef>
          </c:val>
        </c:ser>
        <c:dLbls>
          <c:showLegendKey val="0"/>
          <c:showVal val="0"/>
          <c:showCatName val="0"/>
          <c:showSerName val="0"/>
          <c:showPercent val="0"/>
          <c:showBubbleSize val="0"/>
        </c:dLbls>
        <c:gapWidth val="55"/>
        <c:gapDepth val="55"/>
        <c:shape val="box"/>
        <c:axId val="71020032"/>
        <c:axId val="106974016"/>
        <c:axId val="0"/>
      </c:bar3DChart>
      <c:catAx>
        <c:axId val="71020032"/>
        <c:scaling>
          <c:orientation val="minMax"/>
        </c:scaling>
        <c:delete val="0"/>
        <c:axPos val="b"/>
        <c:numFmt formatCode="General" sourceLinked="1"/>
        <c:majorTickMark val="none"/>
        <c:minorTickMark val="none"/>
        <c:tickLblPos val="nextTo"/>
        <c:crossAx val="106974016"/>
        <c:crosses val="autoZero"/>
        <c:auto val="1"/>
        <c:lblAlgn val="ctr"/>
        <c:lblOffset val="100"/>
        <c:noMultiLvlLbl val="0"/>
      </c:catAx>
      <c:valAx>
        <c:axId val="106974016"/>
        <c:scaling>
          <c:orientation val="minMax"/>
        </c:scaling>
        <c:delete val="0"/>
        <c:axPos val="l"/>
        <c:majorGridlines/>
        <c:numFmt formatCode="#,##0" sourceLinked="1"/>
        <c:majorTickMark val="none"/>
        <c:minorTickMark val="none"/>
        <c:tickLblPos val="nextTo"/>
        <c:crossAx val="71020032"/>
        <c:crosses val="autoZero"/>
        <c:crossBetween val="between"/>
      </c:valAx>
    </c:plotArea>
    <c:legend>
      <c:legendPos val="r"/>
      <c:layout/>
      <c:overlay val="0"/>
    </c:legend>
    <c:plotVisOnly val="1"/>
    <c:dispBlanksAs val="gap"/>
    <c:showDLblsOverMax val="0"/>
  </c:chart>
  <c:txPr>
    <a:bodyPr/>
    <a:lstStyle/>
    <a:p>
      <a:pPr>
        <a:defRPr sz="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200" b="1" i="0" baseline="0">
                <a:effectLst/>
              </a:rPr>
              <a:t>Shock financing by facility for low-income countries (2006-2011)</a:t>
            </a:r>
            <a:endParaRPr lang="en-GB" sz="1200">
              <a:effectLst/>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'summary shock facilities'!$A$15</c:f>
              <c:strCache>
                <c:ptCount val="1"/>
                <c:pt idx="0">
                  <c:v>IDA Global Food Crisis Prog</c:v>
                </c:pt>
              </c:strCache>
            </c:strRef>
          </c:tx>
          <c:invertIfNegative val="0"/>
          <c:cat>
            <c:numRef>
              <c:f>'summary shock facilities'!$B$14:$G$14</c:f>
              <c:numCache>
                <c:formatCode>General</c:formatCode>
                <c:ptCount val="6"/>
                <c:pt idx="0">
                  <c:v>2006</c:v>
                </c:pt>
                <c:pt idx="1">
                  <c:v>2007</c:v>
                </c:pt>
                <c:pt idx="2">
                  <c:v>2008</c:v>
                </c:pt>
                <c:pt idx="3">
                  <c:v>2009</c:v>
                </c:pt>
                <c:pt idx="4">
                  <c:v>2010</c:v>
                </c:pt>
                <c:pt idx="5">
                  <c:v>2011</c:v>
                </c:pt>
              </c:numCache>
            </c:numRef>
          </c:cat>
          <c:val>
            <c:numRef>
              <c:f>'summary shock facilities'!$B$15:$G$15</c:f>
              <c:numCache>
                <c:formatCode>0</c:formatCode>
                <c:ptCount val="6"/>
                <c:pt idx="0">
                  <c:v>0</c:v>
                </c:pt>
                <c:pt idx="1">
                  <c:v>0</c:v>
                </c:pt>
                <c:pt idx="2">
                  <c:v>0</c:v>
                </c:pt>
                <c:pt idx="3">
                  <c:v>625.9</c:v>
                </c:pt>
                <c:pt idx="4">
                  <c:v>235</c:v>
                </c:pt>
                <c:pt idx="5">
                  <c:v>0</c:v>
                </c:pt>
              </c:numCache>
            </c:numRef>
          </c:val>
        </c:ser>
        <c:ser>
          <c:idx val="1"/>
          <c:order val="1"/>
          <c:tx>
            <c:strRef>
              <c:f>'summary shock facilities'!$A$16</c:f>
              <c:strCache>
                <c:ptCount val="1"/>
                <c:pt idx="0">
                  <c:v>IDA CRW</c:v>
                </c:pt>
              </c:strCache>
            </c:strRef>
          </c:tx>
          <c:invertIfNegative val="0"/>
          <c:cat>
            <c:numRef>
              <c:f>'summary shock facilities'!$B$14:$G$14</c:f>
              <c:numCache>
                <c:formatCode>General</c:formatCode>
                <c:ptCount val="6"/>
                <c:pt idx="0">
                  <c:v>2006</c:v>
                </c:pt>
                <c:pt idx="1">
                  <c:v>2007</c:v>
                </c:pt>
                <c:pt idx="2">
                  <c:v>2008</c:v>
                </c:pt>
                <c:pt idx="3">
                  <c:v>2009</c:v>
                </c:pt>
                <c:pt idx="4">
                  <c:v>2010</c:v>
                </c:pt>
                <c:pt idx="5">
                  <c:v>2011</c:v>
                </c:pt>
              </c:numCache>
            </c:numRef>
          </c:cat>
          <c:val>
            <c:numRef>
              <c:f>'summary shock facilities'!$B$16:$G$16</c:f>
              <c:numCache>
                <c:formatCode>0</c:formatCode>
                <c:ptCount val="6"/>
                <c:pt idx="0">
                  <c:v>0</c:v>
                </c:pt>
                <c:pt idx="1">
                  <c:v>0</c:v>
                </c:pt>
                <c:pt idx="2">
                  <c:v>0</c:v>
                </c:pt>
                <c:pt idx="3">
                  <c:v>0</c:v>
                </c:pt>
                <c:pt idx="4">
                  <c:v>875.01116471858097</c:v>
                </c:pt>
                <c:pt idx="5">
                  <c:v>601.98883528141903</c:v>
                </c:pt>
              </c:numCache>
            </c:numRef>
          </c:val>
        </c:ser>
        <c:ser>
          <c:idx val="2"/>
          <c:order val="2"/>
          <c:tx>
            <c:strRef>
              <c:f>'summary shock facilities'!$A$17</c:f>
              <c:strCache>
                <c:ptCount val="1"/>
                <c:pt idx="0">
                  <c:v>IMF Crisis Facilities</c:v>
                </c:pt>
              </c:strCache>
            </c:strRef>
          </c:tx>
          <c:invertIfNegative val="0"/>
          <c:cat>
            <c:numRef>
              <c:f>'summary shock facilities'!$B$14:$G$14</c:f>
              <c:numCache>
                <c:formatCode>General</c:formatCode>
                <c:ptCount val="6"/>
                <c:pt idx="0">
                  <c:v>2006</c:v>
                </c:pt>
                <c:pt idx="1">
                  <c:v>2007</c:v>
                </c:pt>
                <c:pt idx="2">
                  <c:v>2008</c:v>
                </c:pt>
                <c:pt idx="3">
                  <c:v>2009</c:v>
                </c:pt>
                <c:pt idx="4">
                  <c:v>2010</c:v>
                </c:pt>
                <c:pt idx="5">
                  <c:v>2011</c:v>
                </c:pt>
              </c:numCache>
            </c:numRef>
          </c:cat>
          <c:val>
            <c:numRef>
              <c:f>'summary shock facilities'!$B$17:$G$17</c:f>
              <c:numCache>
                <c:formatCode>0</c:formatCode>
                <c:ptCount val="6"/>
                <c:pt idx="0">
                  <c:v>0</c:v>
                </c:pt>
                <c:pt idx="1">
                  <c:v>0</c:v>
                </c:pt>
                <c:pt idx="2">
                  <c:v>0</c:v>
                </c:pt>
                <c:pt idx="3">
                  <c:v>254.32850462408578</c:v>
                </c:pt>
                <c:pt idx="4">
                  <c:v>737.24989138053456</c:v>
                </c:pt>
                <c:pt idx="5">
                  <c:v>193.77409876120754</c:v>
                </c:pt>
              </c:numCache>
            </c:numRef>
          </c:val>
        </c:ser>
        <c:ser>
          <c:idx val="3"/>
          <c:order val="3"/>
          <c:tx>
            <c:strRef>
              <c:f>'summary shock facilities'!$A$18</c:f>
              <c:strCache>
                <c:ptCount val="1"/>
                <c:pt idx="0">
                  <c:v>EU V-Flex</c:v>
                </c:pt>
              </c:strCache>
            </c:strRef>
          </c:tx>
          <c:invertIfNegative val="0"/>
          <c:cat>
            <c:numRef>
              <c:f>'summary shock facilities'!$B$14:$G$14</c:f>
              <c:numCache>
                <c:formatCode>General</c:formatCode>
                <c:ptCount val="6"/>
                <c:pt idx="0">
                  <c:v>2006</c:v>
                </c:pt>
                <c:pt idx="1">
                  <c:v>2007</c:v>
                </c:pt>
                <c:pt idx="2">
                  <c:v>2008</c:v>
                </c:pt>
                <c:pt idx="3">
                  <c:v>2009</c:v>
                </c:pt>
                <c:pt idx="4">
                  <c:v>2010</c:v>
                </c:pt>
                <c:pt idx="5">
                  <c:v>2011</c:v>
                </c:pt>
              </c:numCache>
            </c:numRef>
          </c:cat>
          <c:val>
            <c:numRef>
              <c:f>'summary shock facilities'!$B$18:$G$18</c:f>
              <c:numCache>
                <c:formatCode>0</c:formatCode>
                <c:ptCount val="6"/>
                <c:pt idx="0">
                  <c:v>0</c:v>
                </c:pt>
                <c:pt idx="1">
                  <c:v>0</c:v>
                </c:pt>
                <c:pt idx="2">
                  <c:v>0</c:v>
                </c:pt>
                <c:pt idx="3">
                  <c:v>256.98254364089769</c:v>
                </c:pt>
                <c:pt idx="4">
                  <c:v>308.9775561097257</c:v>
                </c:pt>
                <c:pt idx="5">
                  <c:v>0</c:v>
                </c:pt>
              </c:numCache>
            </c:numRef>
          </c:val>
        </c:ser>
        <c:ser>
          <c:idx val="4"/>
          <c:order val="4"/>
          <c:tx>
            <c:strRef>
              <c:f>'summary shock facilities'!$A$19</c:f>
              <c:strCache>
                <c:ptCount val="1"/>
                <c:pt idx="0">
                  <c:v>EU Flex</c:v>
                </c:pt>
              </c:strCache>
            </c:strRef>
          </c:tx>
          <c:invertIfNegative val="0"/>
          <c:cat>
            <c:numRef>
              <c:f>'summary shock facilities'!$B$14:$G$14</c:f>
              <c:numCache>
                <c:formatCode>General</c:formatCode>
                <c:ptCount val="6"/>
                <c:pt idx="0">
                  <c:v>2006</c:v>
                </c:pt>
                <c:pt idx="1">
                  <c:v>2007</c:v>
                </c:pt>
                <c:pt idx="2">
                  <c:v>2008</c:v>
                </c:pt>
                <c:pt idx="3">
                  <c:v>2009</c:v>
                </c:pt>
                <c:pt idx="4">
                  <c:v>2010</c:v>
                </c:pt>
                <c:pt idx="5">
                  <c:v>2011</c:v>
                </c:pt>
              </c:numCache>
            </c:numRef>
          </c:cat>
          <c:val>
            <c:numRef>
              <c:f>'summary shock facilities'!$B$19:$G$19</c:f>
              <c:numCache>
                <c:formatCode>0</c:formatCode>
                <c:ptCount val="6"/>
                <c:pt idx="0">
                  <c:v>25.972568578553563</c:v>
                </c:pt>
                <c:pt idx="1">
                  <c:v>28.266832917705685</c:v>
                </c:pt>
                <c:pt idx="2">
                  <c:v>43.927680798004985</c:v>
                </c:pt>
                <c:pt idx="3">
                  <c:v>18.54114713216952</c:v>
                </c:pt>
                <c:pt idx="4">
                  <c:v>0</c:v>
                </c:pt>
                <c:pt idx="5">
                  <c:v>0</c:v>
                </c:pt>
              </c:numCache>
            </c:numRef>
          </c:val>
        </c:ser>
        <c:ser>
          <c:idx val="5"/>
          <c:order val="5"/>
          <c:tx>
            <c:strRef>
              <c:f>'summary shock facilities'!$A$20</c:f>
              <c:strCache>
                <c:ptCount val="1"/>
                <c:pt idx="0">
                  <c:v>EU Food Facility</c:v>
                </c:pt>
              </c:strCache>
            </c:strRef>
          </c:tx>
          <c:invertIfNegative val="0"/>
          <c:cat>
            <c:numRef>
              <c:f>'summary shock facilities'!$B$14:$G$14</c:f>
              <c:numCache>
                <c:formatCode>General</c:formatCode>
                <c:ptCount val="6"/>
                <c:pt idx="0">
                  <c:v>2006</c:v>
                </c:pt>
                <c:pt idx="1">
                  <c:v>2007</c:v>
                </c:pt>
                <c:pt idx="2">
                  <c:v>2008</c:v>
                </c:pt>
                <c:pt idx="3">
                  <c:v>2009</c:v>
                </c:pt>
                <c:pt idx="4">
                  <c:v>2010</c:v>
                </c:pt>
                <c:pt idx="5">
                  <c:v>2011</c:v>
                </c:pt>
              </c:numCache>
            </c:numRef>
          </c:cat>
          <c:val>
            <c:numRef>
              <c:f>'summary shock facilities'!$B$20:$G$20</c:f>
              <c:numCache>
                <c:formatCode>General</c:formatCode>
                <c:ptCount val="6"/>
                <c:pt idx="3" formatCode="0">
                  <c:v>424.00249376558594</c:v>
                </c:pt>
                <c:pt idx="4" formatCode="0">
                  <c:v>525.81047381546136</c:v>
                </c:pt>
              </c:numCache>
            </c:numRef>
          </c:val>
        </c:ser>
        <c:dLbls>
          <c:showLegendKey val="0"/>
          <c:showVal val="0"/>
          <c:showCatName val="0"/>
          <c:showSerName val="0"/>
          <c:showPercent val="0"/>
          <c:showBubbleSize val="0"/>
        </c:dLbls>
        <c:gapWidth val="55"/>
        <c:gapDepth val="55"/>
        <c:shape val="box"/>
        <c:axId val="106904064"/>
        <c:axId val="106975744"/>
        <c:axId val="0"/>
      </c:bar3DChart>
      <c:catAx>
        <c:axId val="106904064"/>
        <c:scaling>
          <c:orientation val="minMax"/>
        </c:scaling>
        <c:delete val="0"/>
        <c:axPos val="b"/>
        <c:numFmt formatCode="General" sourceLinked="1"/>
        <c:majorTickMark val="none"/>
        <c:minorTickMark val="none"/>
        <c:tickLblPos val="nextTo"/>
        <c:crossAx val="106975744"/>
        <c:crosses val="autoZero"/>
        <c:auto val="1"/>
        <c:lblAlgn val="ctr"/>
        <c:lblOffset val="100"/>
        <c:noMultiLvlLbl val="0"/>
      </c:catAx>
      <c:valAx>
        <c:axId val="106975744"/>
        <c:scaling>
          <c:orientation val="minMax"/>
        </c:scaling>
        <c:delete val="0"/>
        <c:axPos val="l"/>
        <c:majorGridlines/>
        <c:numFmt formatCode="0" sourceLinked="1"/>
        <c:majorTickMark val="none"/>
        <c:minorTickMark val="none"/>
        <c:tickLblPos val="nextTo"/>
        <c:crossAx val="106904064"/>
        <c:crosses val="autoZero"/>
        <c:crossBetween val="between"/>
      </c:valAx>
    </c:plotArea>
    <c:legend>
      <c:legendPos val="r"/>
      <c:layout/>
      <c:overlay val="0"/>
    </c:legend>
    <c:plotVisOnly val="1"/>
    <c:dispBlanksAs val="gap"/>
    <c:showDLblsOverMax val="0"/>
  </c:chart>
  <c:spPr>
    <a:ln cap="rnd"/>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0.0165</cdr:x>
      <cdr:y>0.11742</cdr:y>
    </cdr:from>
    <cdr:to>
      <cdr:x>0.23689</cdr:x>
      <cdr:y>0.16226</cdr:y>
    </cdr:to>
    <cdr:sp macro="" textlink="">
      <cdr:nvSpPr>
        <cdr:cNvPr id="2" name="TextBox 5"/>
        <cdr:cNvSpPr txBox="1"/>
      </cdr:nvSpPr>
      <cdr:spPr>
        <a:xfrm xmlns:a="http://schemas.openxmlformats.org/drawingml/2006/main">
          <a:off x="95250" y="322109"/>
          <a:ext cx="1272123" cy="12300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GB" sz="900" b="1"/>
            <a:t>US$ Millions</a:t>
          </a:r>
        </a:p>
      </cdr:txBody>
    </cdr:sp>
  </cdr:relSizeAnchor>
</c:userShapes>
</file>

<file path=word/drawings/drawing2.xml><?xml version="1.0" encoding="utf-8"?>
<c:userShapes xmlns:c="http://schemas.openxmlformats.org/drawingml/2006/chart">
  <cdr:relSizeAnchor xmlns:cdr="http://schemas.openxmlformats.org/drawingml/2006/chartDrawing">
    <cdr:from>
      <cdr:x>0.01389</cdr:x>
      <cdr:y>0.09659</cdr:y>
    </cdr:from>
    <cdr:to>
      <cdr:x>0.29213</cdr:x>
      <cdr:y>0.14143</cdr:y>
    </cdr:to>
    <cdr:sp macro="" textlink="">
      <cdr:nvSpPr>
        <cdr:cNvPr id="2" name="TextBox 5"/>
        <cdr:cNvSpPr txBox="1"/>
      </cdr:nvSpPr>
      <cdr:spPr>
        <a:xfrm xmlns:a="http://schemas.openxmlformats.org/drawingml/2006/main">
          <a:off x="63490" y="264957"/>
          <a:ext cx="1272125" cy="123005"/>
        </a:xfrm>
        <a:prstGeom xmlns:a="http://schemas.openxmlformats.org/drawingml/2006/main" prst="rect">
          <a:avLst/>
        </a:prstGeom>
        <a:solidFill xmlns:a="http://schemas.openxmlformats.org/drawingml/2006/main">
          <a:schemeClr val="lt1"/>
        </a:solidFill>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r>
            <a:rPr lang="en-GB" sz="800" b="1"/>
            <a:t>US$ millions</a:t>
          </a:r>
        </a:p>
      </cdr:txBody>
    </cdr:sp>
  </cdr:relSizeAnchor>
</c:userShapes>
</file>

<file path=word/drawings/drawing3.xml><?xml version="1.0" encoding="utf-8"?>
<c:userShapes xmlns:c="http://schemas.openxmlformats.org/drawingml/2006/chart">
  <cdr:relSizeAnchor xmlns:cdr="http://schemas.openxmlformats.org/drawingml/2006/chartDrawing">
    <cdr:from>
      <cdr:x>0.02501</cdr:x>
      <cdr:y>0.13167</cdr:y>
    </cdr:from>
    <cdr:to>
      <cdr:x>0.16689</cdr:x>
      <cdr:y>0.28524</cdr:y>
    </cdr:to>
    <cdr:sp macro="" textlink="">
      <cdr:nvSpPr>
        <cdr:cNvPr id="2" name="TextBox 1"/>
        <cdr:cNvSpPr txBox="1"/>
      </cdr:nvSpPr>
      <cdr:spPr>
        <a:xfrm xmlns:a="http://schemas.openxmlformats.org/drawingml/2006/main">
          <a:off x="148649" y="352425"/>
          <a:ext cx="843278" cy="4110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800"/>
            <a:t>$ millions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5BE17-69BF-4B0D-8946-0412F522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1D0E0F3F</Template>
  <TotalTime>14</TotalTime>
  <Pages>25</Pages>
  <Words>11575</Words>
  <Characters>65978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Updatesofts.com</Company>
  <LinksUpToDate>false</LinksUpToDate>
  <CharactersWithSpaces>77399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MATRIXBK</dc:creator>
  <cp:lastModifiedBy>Ogilvie</cp:lastModifiedBy>
  <cp:revision>3</cp:revision>
  <cp:lastPrinted>2012-09-13T14:30:00Z</cp:lastPrinted>
  <dcterms:created xsi:type="dcterms:W3CDTF">2012-09-13T14:29:00Z</dcterms:created>
  <dcterms:modified xsi:type="dcterms:W3CDTF">2012-09-13T15:30:00Z</dcterms:modified>
</cp:coreProperties>
</file>